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73" w:rsidRPr="003C6851" w:rsidRDefault="003D5C75" w:rsidP="0099632F">
      <w:pPr>
        <w:spacing w:line="240" w:lineRule="auto"/>
        <w:rPr>
          <w:sz w:val="22"/>
          <w:szCs w:val="22"/>
        </w:rPr>
      </w:pPr>
      <w:r w:rsidRPr="007912F9">
        <w:rPr>
          <w:rFonts w:cs="Arial"/>
          <w:b/>
          <w:noProof/>
          <w:sz w:val="72"/>
          <w:szCs w:val="7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180340</wp:posOffset>
            </wp:positionV>
            <wp:extent cx="7200000" cy="489600"/>
            <wp:effectExtent l="0" t="0" r="1270" b="5715"/>
            <wp:wrapThrough wrapText="bothSides">
              <wp:wrapPolygon edited="0">
                <wp:start x="0" y="0"/>
                <wp:lineTo x="0" y="21012"/>
                <wp:lineTo x="21547" y="21012"/>
                <wp:lineTo x="21547" y="0"/>
                <wp:lineTo x="0" y="0"/>
              </wp:wrapPolygon>
            </wp:wrapThrough>
            <wp:docPr id="14" name="Bild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4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142EC" w:rsidRPr="003C6851" w:rsidRDefault="007142EC" w:rsidP="0099632F">
      <w:pPr>
        <w:spacing w:line="240" w:lineRule="auto"/>
        <w:rPr>
          <w:sz w:val="22"/>
          <w:szCs w:val="22"/>
        </w:rPr>
      </w:pPr>
    </w:p>
    <w:p w:rsidR="007142EC" w:rsidRPr="003C6851" w:rsidRDefault="007142EC" w:rsidP="0099632F">
      <w:pPr>
        <w:spacing w:line="240" w:lineRule="auto"/>
        <w:rPr>
          <w:sz w:val="22"/>
          <w:szCs w:val="22"/>
        </w:rPr>
      </w:pPr>
    </w:p>
    <w:p w:rsidR="003C6851" w:rsidRDefault="003C6851" w:rsidP="0099632F">
      <w:pPr>
        <w:spacing w:line="240" w:lineRule="auto"/>
        <w:rPr>
          <w:sz w:val="22"/>
          <w:szCs w:val="22"/>
        </w:rPr>
      </w:pPr>
    </w:p>
    <w:p w:rsidR="000F6FCE" w:rsidRDefault="000F6FCE" w:rsidP="0099632F">
      <w:pPr>
        <w:spacing w:line="240" w:lineRule="auto"/>
        <w:rPr>
          <w:sz w:val="22"/>
          <w:szCs w:val="22"/>
        </w:rPr>
      </w:pPr>
    </w:p>
    <w:p w:rsidR="000F6FCE" w:rsidRDefault="000F6FCE" w:rsidP="0099632F">
      <w:pPr>
        <w:spacing w:line="240" w:lineRule="auto"/>
        <w:rPr>
          <w:sz w:val="22"/>
          <w:szCs w:val="22"/>
        </w:rPr>
      </w:pPr>
    </w:p>
    <w:p w:rsidR="000F6FCE" w:rsidRDefault="000F6FCE" w:rsidP="0099632F">
      <w:pPr>
        <w:spacing w:line="240" w:lineRule="auto"/>
        <w:rPr>
          <w:sz w:val="22"/>
          <w:szCs w:val="22"/>
        </w:rPr>
      </w:pPr>
    </w:p>
    <w:p w:rsidR="000F6FCE" w:rsidRDefault="000F6FCE" w:rsidP="0099632F">
      <w:pPr>
        <w:spacing w:line="240" w:lineRule="auto"/>
        <w:rPr>
          <w:sz w:val="22"/>
          <w:szCs w:val="22"/>
        </w:rPr>
      </w:pPr>
    </w:p>
    <w:p w:rsidR="000F6FCE" w:rsidRDefault="000F6FCE" w:rsidP="0099632F">
      <w:pPr>
        <w:spacing w:line="240" w:lineRule="auto"/>
        <w:rPr>
          <w:sz w:val="22"/>
          <w:szCs w:val="22"/>
        </w:rPr>
      </w:pPr>
    </w:p>
    <w:p w:rsidR="000F6FCE" w:rsidRDefault="000F6FCE" w:rsidP="0099632F">
      <w:pPr>
        <w:spacing w:line="240" w:lineRule="auto"/>
        <w:rPr>
          <w:sz w:val="22"/>
          <w:szCs w:val="22"/>
        </w:rPr>
      </w:pPr>
    </w:p>
    <w:p w:rsidR="003E2799" w:rsidRDefault="003E2799" w:rsidP="0099632F">
      <w:pPr>
        <w:spacing w:line="240" w:lineRule="auto"/>
        <w:rPr>
          <w:sz w:val="22"/>
          <w:szCs w:val="22"/>
        </w:rPr>
      </w:pPr>
    </w:p>
    <w:p w:rsidR="00E94167" w:rsidRDefault="0045620D" w:rsidP="00E94167">
      <w:pPr>
        <w:spacing w:line="240" w:lineRule="auto"/>
        <w:rPr>
          <w:b/>
          <w:sz w:val="56"/>
          <w:szCs w:val="56"/>
          <w:lang w:val="de-DE"/>
        </w:rPr>
      </w:pPr>
      <w:r w:rsidRPr="00B26DDA">
        <w:rPr>
          <w:b/>
          <w:sz w:val="56"/>
          <w:szCs w:val="56"/>
          <w:lang w:val="de-DE"/>
        </w:rPr>
        <w:t>Mustervereinbarung</w:t>
      </w:r>
      <w:r w:rsidR="00094005">
        <w:rPr>
          <w:b/>
          <w:sz w:val="56"/>
          <w:szCs w:val="56"/>
          <w:lang w:val="de-DE"/>
        </w:rPr>
        <w:br/>
        <w:t xml:space="preserve">Fachstelle </w:t>
      </w:r>
      <w:r w:rsidR="0044046C" w:rsidRPr="0044046C">
        <w:rPr>
          <w:b/>
          <w:sz w:val="56"/>
          <w:szCs w:val="56"/>
          <w:lang w:val="de-DE"/>
        </w:rPr>
        <w:t>Feuerungskontrolle</w:t>
      </w:r>
      <w:r w:rsidR="00094005">
        <w:rPr>
          <w:b/>
          <w:sz w:val="56"/>
          <w:szCs w:val="56"/>
          <w:lang w:val="de-DE"/>
        </w:rPr>
        <w:br/>
      </w:r>
      <w:r w:rsidR="0044046C" w:rsidRPr="0044046C">
        <w:rPr>
          <w:b/>
          <w:sz w:val="56"/>
          <w:szCs w:val="56"/>
          <w:lang w:val="de-DE"/>
        </w:rPr>
        <w:t xml:space="preserve">Modell </w:t>
      </w:r>
      <w:r w:rsidR="0044046C">
        <w:rPr>
          <w:b/>
          <w:sz w:val="56"/>
          <w:szCs w:val="56"/>
          <w:lang w:val="de-DE"/>
        </w:rPr>
        <w:t>1</w:t>
      </w:r>
    </w:p>
    <w:p w:rsidR="00F01687" w:rsidRDefault="00F01687" w:rsidP="00E94167">
      <w:pPr>
        <w:spacing w:line="240" w:lineRule="auto"/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>(teilliberalisiert)</w:t>
      </w:r>
    </w:p>
    <w:p w:rsidR="007267FB" w:rsidRDefault="007267FB" w:rsidP="0099632F">
      <w:pPr>
        <w:spacing w:line="240" w:lineRule="auto"/>
        <w:rPr>
          <w:sz w:val="22"/>
          <w:szCs w:val="22"/>
        </w:rPr>
      </w:pPr>
    </w:p>
    <w:p w:rsidR="0010243D" w:rsidRDefault="0010243D" w:rsidP="0099632F">
      <w:pPr>
        <w:spacing w:line="240" w:lineRule="auto"/>
        <w:rPr>
          <w:sz w:val="22"/>
          <w:szCs w:val="22"/>
        </w:rPr>
      </w:pPr>
    </w:p>
    <w:p w:rsidR="00E94167" w:rsidRDefault="00E94167" w:rsidP="00E94167">
      <w:pPr>
        <w:spacing w:line="240" w:lineRule="auto"/>
        <w:rPr>
          <w:sz w:val="22"/>
          <w:szCs w:val="22"/>
        </w:rPr>
      </w:pPr>
    </w:p>
    <w:p w:rsidR="00E94167" w:rsidRDefault="00E94167" w:rsidP="00E94167">
      <w:pPr>
        <w:spacing w:line="240" w:lineRule="auto"/>
        <w:rPr>
          <w:sz w:val="22"/>
          <w:szCs w:val="22"/>
        </w:rPr>
      </w:pPr>
    </w:p>
    <w:p w:rsidR="00E94167" w:rsidRDefault="00E94167" w:rsidP="00E94167">
      <w:pPr>
        <w:spacing w:line="240" w:lineRule="auto"/>
        <w:rPr>
          <w:sz w:val="22"/>
          <w:szCs w:val="22"/>
        </w:rPr>
      </w:pPr>
    </w:p>
    <w:p w:rsidR="00094005" w:rsidRDefault="00094005" w:rsidP="00E94167">
      <w:pPr>
        <w:spacing w:line="240" w:lineRule="auto"/>
        <w:rPr>
          <w:sz w:val="22"/>
          <w:szCs w:val="22"/>
        </w:rPr>
      </w:pPr>
    </w:p>
    <w:p w:rsidR="00094005" w:rsidRPr="00C62B35" w:rsidRDefault="00094005" w:rsidP="00E94167">
      <w:pPr>
        <w:spacing w:line="240" w:lineRule="auto"/>
        <w:rPr>
          <w:sz w:val="22"/>
          <w:szCs w:val="22"/>
        </w:rPr>
      </w:pPr>
    </w:p>
    <w:p w:rsidR="00E94167" w:rsidRPr="00C62B35" w:rsidRDefault="00E94167" w:rsidP="00E94167">
      <w:pPr>
        <w:spacing w:line="240" w:lineRule="auto"/>
        <w:rPr>
          <w:sz w:val="22"/>
          <w:szCs w:val="22"/>
        </w:rPr>
      </w:pPr>
    </w:p>
    <w:p w:rsidR="00E94167" w:rsidRPr="00C62B35" w:rsidRDefault="00E94167" w:rsidP="00E94167">
      <w:pPr>
        <w:spacing w:line="240" w:lineRule="auto"/>
        <w:rPr>
          <w:sz w:val="22"/>
          <w:szCs w:val="22"/>
        </w:rPr>
      </w:pPr>
    </w:p>
    <w:p w:rsidR="00E94167" w:rsidRDefault="00E94167" w:rsidP="00E94167">
      <w:pPr>
        <w:spacing w:line="240" w:lineRule="auto"/>
        <w:rPr>
          <w:sz w:val="22"/>
          <w:szCs w:val="22"/>
        </w:rPr>
      </w:pPr>
    </w:p>
    <w:p w:rsidR="000402DC" w:rsidRDefault="000402DC" w:rsidP="00E94167">
      <w:pPr>
        <w:spacing w:line="240" w:lineRule="auto"/>
        <w:rPr>
          <w:sz w:val="22"/>
          <w:szCs w:val="22"/>
        </w:rPr>
      </w:pPr>
    </w:p>
    <w:p w:rsidR="000402DC" w:rsidRDefault="000402DC" w:rsidP="00E94167">
      <w:pPr>
        <w:spacing w:line="240" w:lineRule="auto"/>
        <w:rPr>
          <w:sz w:val="22"/>
          <w:szCs w:val="22"/>
        </w:rPr>
      </w:pPr>
    </w:p>
    <w:p w:rsidR="000402DC" w:rsidRPr="00C62B35" w:rsidRDefault="000402DC" w:rsidP="00E94167">
      <w:pPr>
        <w:spacing w:line="240" w:lineRule="auto"/>
        <w:rPr>
          <w:sz w:val="22"/>
          <w:szCs w:val="22"/>
        </w:rPr>
      </w:pPr>
    </w:p>
    <w:p w:rsidR="00E94167" w:rsidRDefault="00E94167" w:rsidP="0099632F">
      <w:pPr>
        <w:spacing w:line="240" w:lineRule="auto"/>
        <w:rPr>
          <w:sz w:val="22"/>
          <w:szCs w:val="22"/>
        </w:rPr>
      </w:pPr>
    </w:p>
    <w:p w:rsidR="00E94167" w:rsidRPr="00E94167" w:rsidRDefault="00E94167" w:rsidP="0099632F">
      <w:pPr>
        <w:spacing w:line="240" w:lineRule="auto"/>
        <w:rPr>
          <w:sz w:val="22"/>
          <w:szCs w:val="22"/>
          <w:lang w:val="de-DE"/>
        </w:rPr>
      </w:pPr>
    </w:p>
    <w:p w:rsidR="007267FB" w:rsidRDefault="007267FB" w:rsidP="0099632F">
      <w:pPr>
        <w:spacing w:line="240" w:lineRule="auto"/>
        <w:rPr>
          <w:sz w:val="22"/>
          <w:szCs w:val="22"/>
        </w:rPr>
      </w:pPr>
    </w:p>
    <w:p w:rsidR="00921ECE" w:rsidRPr="002A1885" w:rsidRDefault="00921ECE" w:rsidP="00921ECE">
      <w:pPr>
        <w:spacing w:line="240" w:lineRule="auto"/>
        <w:rPr>
          <w:noProof/>
        </w:rPr>
      </w:pPr>
      <w:r w:rsidRPr="002A1885">
        <w:rPr>
          <w:lang w:val="de-DE"/>
        </w:rPr>
        <w:t xml:space="preserve">Stand </w:t>
      </w:r>
      <w:r w:rsidRPr="002A1885">
        <w:rPr>
          <w:noProof/>
        </w:rPr>
        <w:t>Mai 2019</w:t>
      </w:r>
    </w:p>
    <w:p w:rsidR="00E94167" w:rsidRDefault="00E94167" w:rsidP="00E94167">
      <w:pPr>
        <w:spacing w:line="240" w:lineRule="auto"/>
        <w:rPr>
          <w:lang w:val="de-DE"/>
        </w:rPr>
      </w:pPr>
    </w:p>
    <w:p w:rsidR="003C6851" w:rsidRPr="003C6851" w:rsidRDefault="003C6851" w:rsidP="0099632F">
      <w:pPr>
        <w:spacing w:line="240" w:lineRule="auto"/>
        <w:rPr>
          <w:sz w:val="22"/>
          <w:szCs w:val="22"/>
        </w:rPr>
      </w:pPr>
    </w:p>
    <w:p w:rsidR="003C6851" w:rsidRPr="003C6851" w:rsidRDefault="003C6851" w:rsidP="0099632F">
      <w:pPr>
        <w:spacing w:line="240" w:lineRule="auto"/>
        <w:rPr>
          <w:sz w:val="22"/>
          <w:szCs w:val="22"/>
        </w:rPr>
      </w:pPr>
    </w:p>
    <w:p w:rsidR="003E2799" w:rsidRDefault="003E2799" w:rsidP="0099632F">
      <w:pPr>
        <w:spacing w:line="240" w:lineRule="auto"/>
        <w:rPr>
          <w:sz w:val="22"/>
          <w:szCs w:val="22"/>
        </w:rPr>
        <w:sectPr w:rsidR="003E2799" w:rsidSect="0072288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669" w:right="1134" w:bottom="2694" w:left="1701" w:header="680" w:footer="882" w:gutter="0"/>
          <w:pgNumType w:start="1"/>
          <w:cols w:space="708"/>
          <w:titlePg/>
          <w:docGrid w:linePitch="360"/>
        </w:sect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B940F4" w:rsidRPr="00B940F4" w:rsidRDefault="0044046C" w:rsidP="00B940F4">
      <w:pPr>
        <w:spacing w:before="60" w:line="300" w:lineRule="atLeast"/>
        <w:rPr>
          <w:b/>
          <w:sz w:val="52"/>
          <w:szCs w:val="52"/>
        </w:rPr>
      </w:pPr>
      <w:r w:rsidRPr="00B940F4">
        <w:rPr>
          <w:b/>
          <w:sz w:val="52"/>
          <w:szCs w:val="52"/>
        </w:rPr>
        <w:t>Vereinbarung</w:t>
      </w:r>
    </w:p>
    <w:p w:rsidR="00B940F4" w:rsidRDefault="00B940F4" w:rsidP="0044046C">
      <w:pPr>
        <w:spacing w:before="60" w:line="300" w:lineRule="exact"/>
        <w:rPr>
          <w:b/>
          <w:sz w:val="28"/>
          <w:szCs w:val="28"/>
        </w:rPr>
      </w:pPr>
    </w:p>
    <w:p w:rsidR="0044046C" w:rsidRPr="0044046C" w:rsidRDefault="0044046C" w:rsidP="0044046C">
      <w:pPr>
        <w:spacing w:before="60" w:line="300" w:lineRule="exact"/>
        <w:rPr>
          <w:b/>
          <w:sz w:val="28"/>
          <w:szCs w:val="28"/>
        </w:rPr>
      </w:pPr>
      <w:r w:rsidRPr="0044046C">
        <w:rPr>
          <w:b/>
          <w:sz w:val="28"/>
          <w:szCs w:val="28"/>
        </w:rPr>
        <w:t xml:space="preserve">über die </w:t>
      </w:r>
      <w:r w:rsidR="00094005">
        <w:rPr>
          <w:b/>
          <w:sz w:val="28"/>
          <w:szCs w:val="28"/>
        </w:rPr>
        <w:t>F</w:t>
      </w:r>
      <w:r w:rsidRPr="0044046C">
        <w:rPr>
          <w:b/>
          <w:sz w:val="28"/>
          <w:szCs w:val="28"/>
        </w:rPr>
        <w:t xml:space="preserve">ührung der </w:t>
      </w:r>
      <w:r w:rsidR="00094005">
        <w:rPr>
          <w:rFonts w:cs="Arial"/>
          <w:b/>
          <w:sz w:val="28"/>
          <w:szCs w:val="28"/>
        </w:rPr>
        <w:t>«</w:t>
      </w:r>
      <w:r w:rsidR="00094005">
        <w:rPr>
          <w:b/>
          <w:sz w:val="28"/>
          <w:szCs w:val="28"/>
        </w:rPr>
        <w:t xml:space="preserve">Fachstelle </w:t>
      </w:r>
      <w:r w:rsidRPr="0044046C">
        <w:rPr>
          <w:b/>
          <w:sz w:val="28"/>
          <w:szCs w:val="28"/>
        </w:rPr>
        <w:t>Feuerungskontrolle</w:t>
      </w:r>
      <w:r w:rsidR="00094005">
        <w:rPr>
          <w:rFonts w:cs="Arial"/>
          <w:b/>
          <w:sz w:val="28"/>
          <w:szCs w:val="28"/>
        </w:rPr>
        <w:t>»</w:t>
      </w:r>
      <w:r w:rsidRPr="0044046C">
        <w:rPr>
          <w:b/>
          <w:sz w:val="28"/>
          <w:szCs w:val="28"/>
        </w:rPr>
        <w:t xml:space="preserve"> </w:t>
      </w:r>
      <w:r w:rsidR="00094005">
        <w:rPr>
          <w:b/>
          <w:sz w:val="28"/>
          <w:szCs w:val="28"/>
        </w:rPr>
        <w:t xml:space="preserve">für </w:t>
      </w:r>
      <w:r w:rsidR="00094005" w:rsidRPr="00094005">
        <w:rPr>
          <w:b/>
          <w:sz w:val="28"/>
          <w:szCs w:val="28"/>
        </w:rPr>
        <w:t xml:space="preserve">den Vollzug der Feuerungskontrolle bei </w:t>
      </w:r>
      <w:r w:rsidRPr="0044046C">
        <w:rPr>
          <w:b/>
          <w:sz w:val="28"/>
          <w:szCs w:val="28"/>
        </w:rPr>
        <w:t>Öl- und Gasfeuerungen bi</w:t>
      </w:r>
      <w:r>
        <w:rPr>
          <w:b/>
          <w:sz w:val="28"/>
          <w:szCs w:val="28"/>
        </w:rPr>
        <w:t>s 1 MW</w:t>
      </w:r>
      <w:r w:rsidR="00094005" w:rsidRPr="00094005">
        <w:rPr>
          <w:b/>
          <w:sz w:val="28"/>
          <w:szCs w:val="28"/>
          <w:vertAlign w:val="subscript"/>
        </w:rPr>
        <w:t>FWL</w:t>
      </w:r>
      <w:r>
        <w:rPr>
          <w:b/>
          <w:sz w:val="28"/>
          <w:szCs w:val="28"/>
        </w:rPr>
        <w:t xml:space="preserve"> und </w:t>
      </w:r>
      <w:r w:rsidR="00AE6E3C">
        <w:rPr>
          <w:b/>
          <w:sz w:val="28"/>
          <w:szCs w:val="28"/>
        </w:rPr>
        <w:t>bei</w:t>
      </w:r>
      <w:r>
        <w:rPr>
          <w:b/>
          <w:sz w:val="28"/>
          <w:szCs w:val="28"/>
        </w:rPr>
        <w:t xml:space="preserve"> Holzfeuerungen bis 70 kW</w:t>
      </w:r>
      <w:r w:rsidR="00094005" w:rsidRPr="00094005">
        <w:rPr>
          <w:b/>
          <w:sz w:val="28"/>
          <w:szCs w:val="28"/>
          <w:vertAlign w:val="subscript"/>
        </w:rPr>
        <w:t>FWL</w:t>
      </w:r>
      <w:r>
        <w:rPr>
          <w:b/>
          <w:sz w:val="28"/>
          <w:szCs w:val="28"/>
        </w:rPr>
        <w:t>.</w:t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  <w:r w:rsidRPr="0044046C">
        <w:rPr>
          <w:sz w:val="22"/>
          <w:szCs w:val="22"/>
        </w:rPr>
        <w:t xml:space="preserve">Zwischen der Politischen Gemeinde </w:t>
      </w:r>
      <w:r w:rsidRPr="00D84569">
        <w:rPr>
          <w:b/>
          <w:i/>
          <w:smallCaps/>
          <w:color w:val="4F6228" w:themeColor="accent3" w:themeShade="80"/>
          <w:sz w:val="22"/>
          <w:szCs w:val="22"/>
          <w:shd w:val="clear" w:color="auto" w:fill="EAF1DD" w:themeFill="accent3" w:themeFillTint="33"/>
        </w:rPr>
        <w:t>Bezeichnung politische Gemeinde</w:t>
      </w:r>
      <w:r w:rsidR="005447F9">
        <w:rPr>
          <w:sz w:val="22"/>
          <w:szCs w:val="22"/>
        </w:rPr>
        <w:t xml:space="preserve">, </w:t>
      </w:r>
      <w:r w:rsidR="005447F9" w:rsidRPr="0044046C">
        <w:rPr>
          <w:sz w:val="22"/>
          <w:szCs w:val="22"/>
        </w:rPr>
        <w:t xml:space="preserve">im </w:t>
      </w:r>
      <w:r w:rsidR="00BF3AA8" w:rsidRPr="0044046C">
        <w:rPr>
          <w:sz w:val="22"/>
          <w:szCs w:val="22"/>
        </w:rPr>
        <w:t>Folgenden</w:t>
      </w:r>
      <w:r w:rsidR="00BF3AA8">
        <w:rPr>
          <w:sz w:val="22"/>
          <w:szCs w:val="22"/>
        </w:rPr>
        <w:t xml:space="preserve"> </w:t>
      </w:r>
      <w:r w:rsidR="005447F9">
        <w:rPr>
          <w:rFonts w:cs="Arial"/>
          <w:sz w:val="22"/>
          <w:szCs w:val="22"/>
        </w:rPr>
        <w:t>«Gemeinde»</w:t>
      </w:r>
      <w:r w:rsidR="005447F9" w:rsidRPr="0044046C">
        <w:rPr>
          <w:sz w:val="22"/>
          <w:szCs w:val="22"/>
        </w:rPr>
        <w:t xml:space="preserve"> genannt,</w:t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  <w:r w:rsidRPr="0044046C">
        <w:rPr>
          <w:sz w:val="22"/>
          <w:szCs w:val="22"/>
        </w:rPr>
        <w:t>und</w:t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  <w:r w:rsidRPr="00D52292">
        <w:rPr>
          <w:b/>
          <w:i/>
          <w:smallCaps/>
          <w:color w:val="4F6228" w:themeColor="accent3" w:themeShade="80"/>
          <w:sz w:val="22"/>
          <w:szCs w:val="22"/>
          <w:shd w:val="clear" w:color="auto" w:fill="EAF1DD" w:themeFill="accent3" w:themeFillTint="33"/>
        </w:rPr>
        <w:t>Bezeichnung Vertragspartner</w:t>
      </w:r>
      <w:r w:rsidRPr="0044046C">
        <w:rPr>
          <w:sz w:val="22"/>
          <w:szCs w:val="22"/>
        </w:rPr>
        <w:t xml:space="preserve">, im </w:t>
      </w:r>
      <w:r w:rsidR="00BF3AA8" w:rsidRPr="0044046C">
        <w:rPr>
          <w:sz w:val="22"/>
          <w:szCs w:val="22"/>
        </w:rPr>
        <w:t>Folgenden</w:t>
      </w:r>
      <w:r w:rsidR="00BF3AA8">
        <w:rPr>
          <w:sz w:val="22"/>
          <w:szCs w:val="22"/>
        </w:rPr>
        <w:t xml:space="preserve"> </w:t>
      </w:r>
      <w:r w:rsidR="00454F4A">
        <w:rPr>
          <w:rFonts w:cs="Arial"/>
          <w:sz w:val="22"/>
          <w:szCs w:val="22"/>
        </w:rPr>
        <w:t xml:space="preserve">«Fachstelle </w:t>
      </w:r>
      <w:r w:rsidR="00454F4A" w:rsidRPr="0044046C">
        <w:rPr>
          <w:sz w:val="22"/>
          <w:szCs w:val="22"/>
        </w:rPr>
        <w:t>Feuerungskontrolle</w:t>
      </w:r>
      <w:r w:rsidR="00454F4A">
        <w:rPr>
          <w:rFonts w:cs="Arial"/>
          <w:sz w:val="22"/>
          <w:szCs w:val="22"/>
        </w:rPr>
        <w:t>»</w:t>
      </w:r>
      <w:r w:rsidRPr="0044046C">
        <w:rPr>
          <w:sz w:val="22"/>
          <w:szCs w:val="22"/>
        </w:rPr>
        <w:t xml:space="preserve"> genannt,</w:t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Default="0044046C" w:rsidP="0044046C">
      <w:pPr>
        <w:spacing w:before="60" w:line="300" w:lineRule="exact"/>
        <w:rPr>
          <w:sz w:val="22"/>
          <w:szCs w:val="22"/>
        </w:rPr>
      </w:pPr>
      <w:r w:rsidRPr="0044046C">
        <w:rPr>
          <w:sz w:val="22"/>
          <w:szCs w:val="22"/>
        </w:rPr>
        <w:t xml:space="preserve">wird gestützt auf das Reglement über Luftreinhaltemassnahmen bei Feuerungen der Gemeinde </w:t>
      </w:r>
      <w:r w:rsidRPr="004A27D2">
        <w:rPr>
          <w:b/>
          <w:i/>
          <w:smallCaps/>
          <w:color w:val="4F6228" w:themeColor="accent3" w:themeShade="80"/>
          <w:sz w:val="22"/>
          <w:szCs w:val="22"/>
          <w:shd w:val="clear" w:color="auto" w:fill="EAF1DD" w:themeFill="accent3" w:themeFillTint="33"/>
        </w:rPr>
        <w:t>politische Gemeinde</w:t>
      </w:r>
      <w:r w:rsidRPr="0044046C">
        <w:rPr>
          <w:sz w:val="22"/>
          <w:szCs w:val="22"/>
        </w:rPr>
        <w:t xml:space="preserve"> vom </w:t>
      </w:r>
      <w:r w:rsidRPr="004A27D2">
        <w:rPr>
          <w:b/>
          <w:i/>
          <w:smallCaps/>
          <w:color w:val="4F6228" w:themeColor="accent3" w:themeShade="80"/>
          <w:sz w:val="22"/>
          <w:szCs w:val="22"/>
          <w:shd w:val="clear" w:color="auto" w:fill="EAF1DD" w:themeFill="accent3" w:themeFillTint="33"/>
        </w:rPr>
        <w:t>Datum</w:t>
      </w:r>
      <w:r w:rsidRPr="0044046C">
        <w:rPr>
          <w:sz w:val="22"/>
          <w:szCs w:val="22"/>
        </w:rPr>
        <w:t xml:space="preserve"> folgende Vereinbarung abgeschlossen:</w:t>
      </w:r>
    </w:p>
    <w:p w:rsid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5447F9" w:rsidP="00094005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094005">
        <w:rPr>
          <w:sz w:val="22"/>
          <w:szCs w:val="22"/>
        </w:rPr>
        <w:t xml:space="preserve">Fachstelle </w:t>
      </w:r>
      <w:r w:rsidRPr="0044046C">
        <w:rPr>
          <w:sz w:val="22"/>
          <w:szCs w:val="22"/>
        </w:rPr>
        <w:t>Feuerungskontrolle</w:t>
      </w:r>
      <w:r w:rsidR="0044046C" w:rsidRPr="0044046C">
        <w:rPr>
          <w:sz w:val="22"/>
          <w:szCs w:val="22"/>
        </w:rPr>
        <w:t xml:space="preserve"> übernimmt für die Gemeinde</w:t>
      </w:r>
      <w:r w:rsidR="00094005">
        <w:rPr>
          <w:sz w:val="22"/>
          <w:szCs w:val="22"/>
        </w:rPr>
        <w:t xml:space="preserve"> den Vollzug </w:t>
      </w:r>
      <w:r w:rsidR="0044046C" w:rsidRPr="0044046C">
        <w:rPr>
          <w:sz w:val="22"/>
          <w:szCs w:val="22"/>
        </w:rPr>
        <w:t>der Feuerungskontrolle</w:t>
      </w:r>
      <w:r w:rsidR="00094005" w:rsidRPr="00094005">
        <w:rPr>
          <w:sz w:val="22"/>
          <w:szCs w:val="22"/>
        </w:rPr>
        <w:t xml:space="preserve"> bei Öl- und Gasfeuerungen bis 1 MW</w:t>
      </w:r>
      <w:r w:rsidR="00094005" w:rsidRPr="00094005">
        <w:rPr>
          <w:sz w:val="22"/>
          <w:szCs w:val="22"/>
          <w:vertAlign w:val="subscript"/>
        </w:rPr>
        <w:t>FWL</w:t>
      </w:r>
      <w:r w:rsidR="00094005" w:rsidRPr="00094005">
        <w:rPr>
          <w:sz w:val="22"/>
          <w:szCs w:val="22"/>
        </w:rPr>
        <w:t xml:space="preserve"> und bei Holzfeuerungen bis 70 kW</w:t>
      </w:r>
      <w:r w:rsidR="00094005" w:rsidRPr="00094005">
        <w:rPr>
          <w:sz w:val="22"/>
          <w:szCs w:val="22"/>
          <w:vertAlign w:val="subscript"/>
        </w:rPr>
        <w:t>FWL</w:t>
      </w:r>
      <w:r w:rsidR="0044046C" w:rsidRPr="0044046C">
        <w:rPr>
          <w:sz w:val="22"/>
          <w:szCs w:val="22"/>
        </w:rPr>
        <w:t>.</w:t>
      </w:r>
    </w:p>
    <w:p w:rsidR="0044046C" w:rsidRPr="00AC12AB" w:rsidRDefault="0044046C" w:rsidP="004E5628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AC12AB">
        <w:rPr>
          <w:sz w:val="22"/>
          <w:szCs w:val="22"/>
        </w:rPr>
        <w:t xml:space="preserve">Die Gemeinde überträgt </w:t>
      </w:r>
      <w:r w:rsidR="004D2A6C" w:rsidRPr="00AC12AB">
        <w:rPr>
          <w:sz w:val="22"/>
          <w:szCs w:val="22"/>
        </w:rPr>
        <w:t xml:space="preserve">der </w:t>
      </w:r>
      <w:r w:rsidR="004D2A6C" w:rsidRPr="00AC12AB">
        <w:rPr>
          <w:rFonts w:cs="Arial"/>
          <w:sz w:val="22"/>
          <w:szCs w:val="22"/>
        </w:rPr>
        <w:t xml:space="preserve">Fachstelle </w:t>
      </w:r>
      <w:r w:rsidR="004D2A6C" w:rsidRPr="00AC12AB">
        <w:rPr>
          <w:sz w:val="22"/>
          <w:szCs w:val="22"/>
        </w:rPr>
        <w:t xml:space="preserve">Feuerungskontrolle </w:t>
      </w:r>
      <w:r w:rsidRPr="00AC12AB">
        <w:rPr>
          <w:sz w:val="22"/>
          <w:szCs w:val="22"/>
        </w:rPr>
        <w:t>nachfolgende Aufgaben:</w:t>
      </w:r>
    </w:p>
    <w:p w:rsidR="0044046C" w:rsidRDefault="0044046C" w:rsidP="00600093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 w:rsidRPr="00AC12AB">
        <w:rPr>
          <w:sz w:val="22"/>
          <w:szCs w:val="22"/>
        </w:rPr>
        <w:t>Administra</w:t>
      </w:r>
      <w:r w:rsidR="00AC12AB" w:rsidRPr="00AC12AB">
        <w:rPr>
          <w:sz w:val="22"/>
          <w:szCs w:val="22"/>
        </w:rPr>
        <w:t xml:space="preserve">tive Verwaltung </w:t>
      </w:r>
      <w:r w:rsidR="00BD2EBB">
        <w:rPr>
          <w:sz w:val="22"/>
          <w:szCs w:val="22"/>
        </w:rPr>
        <w:t>der</w:t>
      </w:r>
      <w:r w:rsidR="00AC12AB" w:rsidRPr="00AC12AB">
        <w:rPr>
          <w:sz w:val="22"/>
          <w:szCs w:val="22"/>
        </w:rPr>
        <w:t xml:space="preserve"> Anlagedaten</w:t>
      </w:r>
      <w:r w:rsidR="00BD2EBB">
        <w:rPr>
          <w:sz w:val="22"/>
          <w:szCs w:val="22"/>
        </w:rPr>
        <w:t xml:space="preserve"> sowie der Kontroll- und Messdaten  von allen Feuerungsanlagen</w:t>
      </w:r>
      <w:r w:rsidR="00BD2EBB" w:rsidRPr="00BD2EBB">
        <w:rPr>
          <w:sz w:val="22"/>
          <w:szCs w:val="22"/>
        </w:rPr>
        <w:t xml:space="preserve"> </w:t>
      </w:r>
      <w:r w:rsidR="00BD2EBB" w:rsidRPr="00AC12AB">
        <w:rPr>
          <w:sz w:val="22"/>
          <w:szCs w:val="22"/>
        </w:rPr>
        <w:t>(Öl- und Gasfeuerungen bis 1 MW</w:t>
      </w:r>
      <w:r w:rsidR="00BD2EBB" w:rsidRPr="00AC12AB">
        <w:rPr>
          <w:sz w:val="22"/>
          <w:szCs w:val="22"/>
          <w:vertAlign w:val="subscript"/>
        </w:rPr>
        <w:t>FWL</w:t>
      </w:r>
      <w:r w:rsidR="00BD2EBB" w:rsidRPr="00AC12AB">
        <w:rPr>
          <w:sz w:val="22"/>
          <w:szCs w:val="22"/>
        </w:rPr>
        <w:t xml:space="preserve"> und</w:t>
      </w:r>
      <w:r w:rsidR="00BD2EBB">
        <w:rPr>
          <w:sz w:val="22"/>
          <w:szCs w:val="22"/>
        </w:rPr>
        <w:t xml:space="preserve"> Holzfeuerungen bis 70 kW</w:t>
      </w:r>
      <w:r w:rsidR="00BD2EBB" w:rsidRPr="00A85885">
        <w:rPr>
          <w:sz w:val="22"/>
          <w:szCs w:val="22"/>
          <w:vertAlign w:val="subscript"/>
        </w:rPr>
        <w:t>FWL</w:t>
      </w:r>
      <w:r w:rsidR="00BD2EBB">
        <w:rPr>
          <w:sz w:val="22"/>
          <w:szCs w:val="22"/>
        </w:rPr>
        <w:t>) in der Gemeinde</w:t>
      </w:r>
      <w:r w:rsidR="00552C03" w:rsidRPr="00552C03">
        <w:rPr>
          <w:sz w:val="22"/>
          <w:szCs w:val="22"/>
        </w:rPr>
        <w:t xml:space="preserve"> </w:t>
      </w:r>
      <w:r w:rsidR="00552C03" w:rsidRPr="0044046C">
        <w:rPr>
          <w:sz w:val="22"/>
          <w:szCs w:val="22"/>
        </w:rPr>
        <w:t>soweit sie nicht der Kontrolle des Amt</w:t>
      </w:r>
      <w:r w:rsidR="00552C03">
        <w:rPr>
          <w:sz w:val="22"/>
          <w:szCs w:val="22"/>
        </w:rPr>
        <w:t>es für Umwelt unterstellt sind</w:t>
      </w:r>
      <w:r w:rsidR="00B940F4" w:rsidRPr="00AC12AB">
        <w:rPr>
          <w:sz w:val="22"/>
          <w:szCs w:val="22"/>
        </w:rPr>
        <w:t>;</w:t>
      </w:r>
    </w:p>
    <w:p w:rsidR="00946AEE" w:rsidRPr="00AC12AB" w:rsidRDefault="00946AEE" w:rsidP="00946AEE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Abnahme</w:t>
      </w:r>
      <w:r w:rsidR="0032400B">
        <w:rPr>
          <w:sz w:val="22"/>
          <w:szCs w:val="22"/>
        </w:rPr>
        <w:t xml:space="preserve"> (Abnahmekontrolle und wo notwendig Messung)</w:t>
      </w:r>
      <w:r>
        <w:rPr>
          <w:sz w:val="22"/>
          <w:szCs w:val="22"/>
        </w:rPr>
        <w:t xml:space="preserve"> </w:t>
      </w:r>
      <w:r w:rsidRPr="00946AEE">
        <w:rPr>
          <w:sz w:val="22"/>
          <w:szCs w:val="22"/>
        </w:rPr>
        <w:t xml:space="preserve">von </w:t>
      </w:r>
      <w:r w:rsidR="00211C11">
        <w:rPr>
          <w:sz w:val="22"/>
          <w:szCs w:val="22"/>
        </w:rPr>
        <w:t xml:space="preserve">allen </w:t>
      </w:r>
      <w:r w:rsidRPr="00946AEE">
        <w:rPr>
          <w:sz w:val="22"/>
          <w:szCs w:val="22"/>
        </w:rPr>
        <w:t>neue</w:t>
      </w:r>
      <w:r>
        <w:rPr>
          <w:sz w:val="22"/>
          <w:szCs w:val="22"/>
        </w:rPr>
        <w:t xml:space="preserve">n oder sanierten </w:t>
      </w:r>
      <w:r w:rsidR="00BD2EBB" w:rsidRPr="00AC12AB">
        <w:rPr>
          <w:sz w:val="22"/>
          <w:szCs w:val="22"/>
        </w:rPr>
        <w:t xml:space="preserve">Feuerungsanlagen </w:t>
      </w:r>
      <w:r w:rsidRPr="00946AEE">
        <w:rPr>
          <w:sz w:val="22"/>
          <w:szCs w:val="22"/>
        </w:rPr>
        <w:t>innert 12 Monaten nach Inbetriebnahme</w:t>
      </w:r>
      <w:r w:rsidR="00BD2EBB">
        <w:rPr>
          <w:sz w:val="22"/>
          <w:szCs w:val="22"/>
        </w:rPr>
        <w:t>;</w:t>
      </w:r>
    </w:p>
    <w:p w:rsidR="0032400B" w:rsidRDefault="00552C03" w:rsidP="00B940F4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Periodische </w:t>
      </w:r>
      <w:r w:rsidR="00B940F4" w:rsidRPr="00AC12AB">
        <w:rPr>
          <w:sz w:val="22"/>
          <w:szCs w:val="22"/>
        </w:rPr>
        <w:t>Kontro</w:t>
      </w:r>
      <w:r w:rsidR="00BD2EBB">
        <w:rPr>
          <w:sz w:val="22"/>
          <w:szCs w:val="22"/>
        </w:rPr>
        <w:t>lle sämtlicher Feuerungsanlagen</w:t>
      </w:r>
      <w:r w:rsidR="0032400B">
        <w:rPr>
          <w:sz w:val="22"/>
          <w:szCs w:val="22"/>
        </w:rPr>
        <w:t>;</w:t>
      </w:r>
    </w:p>
    <w:p w:rsidR="00B940F4" w:rsidRDefault="00211C11" w:rsidP="00B940F4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 w:rsidRPr="0044046C">
        <w:rPr>
          <w:sz w:val="22"/>
          <w:szCs w:val="22"/>
        </w:rPr>
        <w:t>Nachkont</w:t>
      </w:r>
      <w:r>
        <w:rPr>
          <w:sz w:val="22"/>
          <w:szCs w:val="22"/>
        </w:rPr>
        <w:t xml:space="preserve">rolle beanstandeter Anlagen </w:t>
      </w:r>
      <w:r w:rsidRPr="001D676A">
        <w:rPr>
          <w:sz w:val="22"/>
          <w:szCs w:val="22"/>
        </w:rPr>
        <w:t xml:space="preserve">soweit </w:t>
      </w:r>
      <w:r>
        <w:rPr>
          <w:sz w:val="22"/>
          <w:szCs w:val="22"/>
        </w:rPr>
        <w:t>diese</w:t>
      </w:r>
      <w:r w:rsidRPr="001D6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nicht durch </w:t>
      </w:r>
      <w:r w:rsidRPr="00B940F4">
        <w:rPr>
          <w:sz w:val="22"/>
          <w:szCs w:val="22"/>
        </w:rPr>
        <w:t xml:space="preserve">Service- und </w:t>
      </w:r>
      <w:r w:rsidR="002B7811">
        <w:rPr>
          <w:sz w:val="22"/>
          <w:szCs w:val="22"/>
        </w:rPr>
        <w:t>Mess</w:t>
      </w:r>
      <w:r w:rsidR="002B7811" w:rsidRPr="009C1B0D">
        <w:rPr>
          <w:sz w:val="22"/>
          <w:szCs w:val="22"/>
        </w:rPr>
        <w:t>unternehmen</w:t>
      </w:r>
      <w:r w:rsidR="002B7811" w:rsidRPr="00B4527B">
        <w:rPr>
          <w:sz w:val="22"/>
          <w:szCs w:val="22"/>
        </w:rPr>
        <w:t xml:space="preserve"> </w:t>
      </w:r>
      <w:r w:rsidRPr="00D806AA">
        <w:rPr>
          <w:sz w:val="22"/>
          <w:szCs w:val="22"/>
        </w:rPr>
        <w:t>kontrolliert werden</w:t>
      </w:r>
      <w:r>
        <w:rPr>
          <w:sz w:val="22"/>
          <w:szCs w:val="22"/>
        </w:rPr>
        <w:t>;</w:t>
      </w:r>
    </w:p>
    <w:p w:rsidR="0044046C" w:rsidRPr="00A57985" w:rsidRDefault="00D95276" w:rsidP="00600093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Verwaltung, Kontrolle und Beurteilung </w:t>
      </w:r>
      <w:r w:rsidRPr="00A57985">
        <w:rPr>
          <w:sz w:val="22"/>
          <w:szCs w:val="22"/>
        </w:rPr>
        <w:t xml:space="preserve">der von Service- und </w:t>
      </w:r>
      <w:r w:rsidR="002B7811">
        <w:rPr>
          <w:sz w:val="22"/>
          <w:szCs w:val="22"/>
        </w:rPr>
        <w:t>Mess</w:t>
      </w:r>
      <w:r w:rsidR="002B7811" w:rsidRPr="009C1B0D">
        <w:rPr>
          <w:sz w:val="22"/>
          <w:szCs w:val="22"/>
        </w:rPr>
        <w:t>unternehmen</w:t>
      </w:r>
      <w:r w:rsidR="002B7811" w:rsidRPr="00B4527B">
        <w:rPr>
          <w:sz w:val="22"/>
          <w:szCs w:val="22"/>
        </w:rPr>
        <w:t xml:space="preserve"> </w:t>
      </w:r>
      <w:r w:rsidRPr="00A57985">
        <w:rPr>
          <w:sz w:val="22"/>
          <w:szCs w:val="22"/>
        </w:rPr>
        <w:t xml:space="preserve">eingereichten Messresultate von Nachkontrollen </w:t>
      </w:r>
      <w:r w:rsidR="009D0D02" w:rsidRPr="00A57985">
        <w:rPr>
          <w:sz w:val="22"/>
          <w:szCs w:val="22"/>
        </w:rPr>
        <w:t>an beanstandeten Anlagen</w:t>
      </w:r>
      <w:r w:rsidR="0001571F" w:rsidRPr="00A57985">
        <w:rPr>
          <w:sz w:val="22"/>
          <w:szCs w:val="22"/>
        </w:rPr>
        <w:t>;</w:t>
      </w:r>
    </w:p>
    <w:p w:rsidR="0044046C" w:rsidRPr="0044046C" w:rsidRDefault="00211C11" w:rsidP="00A85885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 w:rsidRPr="0044046C">
        <w:rPr>
          <w:sz w:val="22"/>
          <w:szCs w:val="22"/>
        </w:rPr>
        <w:t>Stichproben</w:t>
      </w:r>
      <w:r>
        <w:rPr>
          <w:sz w:val="22"/>
          <w:szCs w:val="22"/>
        </w:rPr>
        <w:t>kontrollen</w:t>
      </w:r>
      <w:r w:rsidRPr="0044046C">
        <w:rPr>
          <w:sz w:val="22"/>
          <w:szCs w:val="22"/>
        </w:rPr>
        <w:t xml:space="preserve"> </w:t>
      </w:r>
      <w:r w:rsidR="0044046C" w:rsidRPr="0044046C">
        <w:rPr>
          <w:sz w:val="22"/>
          <w:szCs w:val="22"/>
        </w:rPr>
        <w:t xml:space="preserve">bei Anlagen, bei denen die Nachkontrolle durch </w:t>
      </w:r>
      <w:r w:rsidR="00A85885" w:rsidRPr="00B940F4">
        <w:rPr>
          <w:sz w:val="22"/>
          <w:szCs w:val="22"/>
        </w:rPr>
        <w:t xml:space="preserve">Service- und </w:t>
      </w:r>
      <w:r w:rsidR="002B7811">
        <w:rPr>
          <w:sz w:val="22"/>
          <w:szCs w:val="22"/>
        </w:rPr>
        <w:t>Mess</w:t>
      </w:r>
      <w:r w:rsidR="002B7811" w:rsidRPr="009C1B0D">
        <w:rPr>
          <w:sz w:val="22"/>
          <w:szCs w:val="22"/>
        </w:rPr>
        <w:t>unternehmen</w:t>
      </w:r>
      <w:r w:rsidR="002B7811" w:rsidRPr="00B4527B">
        <w:rPr>
          <w:sz w:val="22"/>
          <w:szCs w:val="22"/>
        </w:rPr>
        <w:t xml:space="preserve"> </w:t>
      </w:r>
      <w:r w:rsidR="00A85885">
        <w:rPr>
          <w:sz w:val="22"/>
          <w:szCs w:val="22"/>
        </w:rPr>
        <w:t>durchgeführt wurde;</w:t>
      </w:r>
    </w:p>
    <w:p w:rsidR="0044046C" w:rsidRPr="0044046C" w:rsidRDefault="0044046C" w:rsidP="00600093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 w:rsidRPr="0044046C">
        <w:rPr>
          <w:sz w:val="22"/>
          <w:szCs w:val="22"/>
        </w:rPr>
        <w:t>Entwerfen der erforderlichen Sanierungsverfügung</w:t>
      </w:r>
      <w:r w:rsidR="00A85885">
        <w:rPr>
          <w:sz w:val="22"/>
          <w:szCs w:val="22"/>
        </w:rPr>
        <w:t xml:space="preserve">en zuhanden der </w:t>
      </w:r>
      <w:r w:rsidR="0079290C" w:rsidRPr="0044046C">
        <w:rPr>
          <w:sz w:val="22"/>
          <w:szCs w:val="22"/>
        </w:rPr>
        <w:t xml:space="preserve">Gemeinde </w:t>
      </w:r>
      <w:r w:rsidR="00A85885">
        <w:rPr>
          <w:sz w:val="22"/>
          <w:szCs w:val="22"/>
        </w:rPr>
        <w:t>und Überwachung von deren Vollzug;</w:t>
      </w:r>
    </w:p>
    <w:p w:rsidR="0044046C" w:rsidRPr="0044046C" w:rsidRDefault="00A85885" w:rsidP="00600093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Rechnungsführung;</w:t>
      </w:r>
    </w:p>
    <w:p w:rsidR="0044046C" w:rsidRPr="0044046C" w:rsidRDefault="0044046C" w:rsidP="00600093">
      <w:pPr>
        <w:pStyle w:val="Listenabsatz"/>
        <w:numPr>
          <w:ilvl w:val="0"/>
          <w:numId w:val="17"/>
        </w:numPr>
        <w:spacing w:before="60" w:line="300" w:lineRule="exact"/>
        <w:ind w:left="851" w:hanging="284"/>
        <w:rPr>
          <w:sz w:val="22"/>
          <w:szCs w:val="22"/>
        </w:rPr>
      </w:pPr>
      <w:r w:rsidRPr="0044046C">
        <w:rPr>
          <w:sz w:val="22"/>
          <w:szCs w:val="22"/>
        </w:rPr>
        <w:t xml:space="preserve">Jährliche Berichterstattung an die </w:t>
      </w:r>
      <w:r w:rsidR="001502B4" w:rsidRPr="0044046C">
        <w:rPr>
          <w:sz w:val="22"/>
          <w:szCs w:val="22"/>
        </w:rPr>
        <w:t xml:space="preserve">Gemeinde </w:t>
      </w:r>
      <w:r w:rsidRPr="0044046C">
        <w:rPr>
          <w:sz w:val="22"/>
          <w:szCs w:val="22"/>
        </w:rPr>
        <w:t>und das Amt für Umwelt</w:t>
      </w:r>
      <w:r w:rsidR="00D95276">
        <w:rPr>
          <w:sz w:val="22"/>
          <w:szCs w:val="22"/>
        </w:rPr>
        <w:t xml:space="preserve"> gemäss Vorgaben Amt für Umwelt</w:t>
      </w:r>
      <w:r w:rsidRPr="0044046C">
        <w:rPr>
          <w:sz w:val="22"/>
          <w:szCs w:val="22"/>
        </w:rPr>
        <w:t>.</w:t>
      </w:r>
    </w:p>
    <w:p w:rsidR="0044046C" w:rsidRPr="0044046C" w:rsidRDefault="0044046C" w:rsidP="004E5628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lastRenderedPageBreak/>
        <w:t xml:space="preserve">Die administrative Verwaltung der Anlagedaten </w:t>
      </w:r>
      <w:r w:rsidR="00B51487">
        <w:rPr>
          <w:sz w:val="22"/>
          <w:szCs w:val="22"/>
        </w:rPr>
        <w:t>erfolgt</w:t>
      </w:r>
      <w:r w:rsidRPr="0044046C">
        <w:rPr>
          <w:sz w:val="22"/>
          <w:szCs w:val="22"/>
        </w:rPr>
        <w:t xml:space="preserve"> mittels ei</w:t>
      </w:r>
      <w:r w:rsidR="0001571F">
        <w:rPr>
          <w:sz w:val="22"/>
          <w:szCs w:val="22"/>
        </w:rPr>
        <w:t>nes EDV-Systems. Die</w:t>
      </w:r>
      <w:r w:rsidRPr="0044046C">
        <w:rPr>
          <w:sz w:val="22"/>
          <w:szCs w:val="22"/>
        </w:rPr>
        <w:t xml:space="preserve"> </w:t>
      </w:r>
      <w:r w:rsidR="0001571F">
        <w:rPr>
          <w:rFonts w:cs="Arial"/>
          <w:sz w:val="22"/>
          <w:szCs w:val="22"/>
        </w:rPr>
        <w:t xml:space="preserve">Fachstelle </w:t>
      </w:r>
      <w:r w:rsidR="0001571F" w:rsidRPr="0044046C">
        <w:rPr>
          <w:sz w:val="22"/>
          <w:szCs w:val="22"/>
        </w:rPr>
        <w:t xml:space="preserve">Feuerungskontrolle </w:t>
      </w:r>
      <w:r w:rsidRPr="0044046C">
        <w:rPr>
          <w:sz w:val="22"/>
          <w:szCs w:val="22"/>
        </w:rPr>
        <w:t xml:space="preserve">verpflichtet sich, bei einer allfälligen Kündigung dieser Vereinbarung oder auf ausdrücklichen Wunsch der </w:t>
      </w:r>
      <w:r w:rsidR="00B51487" w:rsidRPr="0044046C">
        <w:rPr>
          <w:sz w:val="22"/>
          <w:szCs w:val="22"/>
        </w:rPr>
        <w:t xml:space="preserve">Gemeinde </w:t>
      </w:r>
      <w:r w:rsidRPr="0044046C">
        <w:rPr>
          <w:sz w:val="22"/>
          <w:szCs w:val="22"/>
        </w:rPr>
        <w:t>die Anlage</w:t>
      </w:r>
      <w:r w:rsidR="00C32E19">
        <w:rPr>
          <w:sz w:val="22"/>
          <w:szCs w:val="22"/>
        </w:rPr>
        <w:t xml:space="preserve">n-, Kontroll- und Messdaten </w:t>
      </w:r>
      <w:r w:rsidR="001502B4">
        <w:rPr>
          <w:sz w:val="22"/>
          <w:szCs w:val="22"/>
        </w:rPr>
        <w:t xml:space="preserve">in digitaler Form </w:t>
      </w:r>
      <w:r w:rsidRPr="0044046C">
        <w:rPr>
          <w:sz w:val="22"/>
          <w:szCs w:val="22"/>
        </w:rPr>
        <w:t>auf einem von ihr verwendbaren Datenträger für die Weiterverwendung zur Verfügung zu stellen.</w:t>
      </w:r>
    </w:p>
    <w:p w:rsidR="0044046C" w:rsidRDefault="009E50BD" w:rsidP="004E5628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t xml:space="preserve">Die Höhe der Kosten </w:t>
      </w:r>
      <w:r>
        <w:rPr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 xml:space="preserve">Fachstelle </w:t>
      </w:r>
      <w:r w:rsidRPr="0044046C">
        <w:rPr>
          <w:sz w:val="22"/>
          <w:szCs w:val="22"/>
        </w:rPr>
        <w:t>Feuerungskontrolle</w:t>
      </w:r>
      <w:r>
        <w:rPr>
          <w:sz w:val="22"/>
          <w:szCs w:val="22"/>
        </w:rPr>
        <w:t xml:space="preserve"> </w:t>
      </w:r>
      <w:r w:rsidRPr="0044046C">
        <w:rPr>
          <w:sz w:val="22"/>
          <w:szCs w:val="22"/>
        </w:rPr>
        <w:t xml:space="preserve">für die </w:t>
      </w:r>
      <w:r>
        <w:rPr>
          <w:sz w:val="22"/>
          <w:szCs w:val="22"/>
        </w:rPr>
        <w:t>Abnahmekontrolle, die periodische Kontrolle</w:t>
      </w:r>
      <w:r w:rsidRPr="0044046C">
        <w:rPr>
          <w:sz w:val="22"/>
          <w:szCs w:val="22"/>
        </w:rPr>
        <w:t xml:space="preserve"> und den administrativen Aufwand</w:t>
      </w:r>
      <w:r>
        <w:rPr>
          <w:sz w:val="22"/>
          <w:szCs w:val="22"/>
        </w:rPr>
        <w:t xml:space="preserve"> </w:t>
      </w:r>
      <w:r w:rsidR="0044046C" w:rsidRPr="0044046C">
        <w:rPr>
          <w:sz w:val="22"/>
          <w:szCs w:val="22"/>
        </w:rPr>
        <w:t xml:space="preserve">wird im Sinne des Verursacherprinzips kostendeckend von der </w:t>
      </w:r>
      <w:r w:rsidR="001502B4" w:rsidRPr="0044046C">
        <w:rPr>
          <w:sz w:val="22"/>
          <w:szCs w:val="22"/>
        </w:rPr>
        <w:t xml:space="preserve">Gemeinde </w:t>
      </w:r>
      <w:r w:rsidR="00057814">
        <w:rPr>
          <w:sz w:val="22"/>
          <w:szCs w:val="22"/>
        </w:rPr>
        <w:t xml:space="preserve">festgesetzt und von der </w:t>
      </w:r>
      <w:r w:rsidR="00057814">
        <w:rPr>
          <w:rFonts w:cs="Arial"/>
          <w:sz w:val="22"/>
          <w:szCs w:val="22"/>
        </w:rPr>
        <w:t xml:space="preserve">Fachstelle </w:t>
      </w:r>
      <w:r w:rsidR="00057814" w:rsidRPr="0044046C">
        <w:rPr>
          <w:sz w:val="22"/>
          <w:szCs w:val="22"/>
        </w:rPr>
        <w:t xml:space="preserve">Feuerungskontrolle </w:t>
      </w:r>
      <w:r w:rsidR="0044046C" w:rsidRPr="0044046C">
        <w:rPr>
          <w:sz w:val="22"/>
          <w:szCs w:val="22"/>
        </w:rPr>
        <w:t xml:space="preserve">direkt </w:t>
      </w:r>
      <w:r w:rsidR="001502B4">
        <w:rPr>
          <w:sz w:val="22"/>
          <w:szCs w:val="22"/>
        </w:rPr>
        <w:t>dem</w:t>
      </w:r>
      <w:r w:rsidR="0044046C" w:rsidRPr="0044046C">
        <w:rPr>
          <w:sz w:val="22"/>
          <w:szCs w:val="22"/>
        </w:rPr>
        <w:t xml:space="preserve"> Anlagenbetreiber verrechnet. </w:t>
      </w:r>
    </w:p>
    <w:p w:rsidR="00627456" w:rsidRPr="0044046C" w:rsidRDefault="00627456" w:rsidP="00627456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627456">
        <w:rPr>
          <w:sz w:val="22"/>
          <w:szCs w:val="22"/>
        </w:rPr>
        <w:t>Die Bearbeitung von Reklamationen wird von de</w:t>
      </w:r>
      <w:r>
        <w:rPr>
          <w:sz w:val="22"/>
          <w:szCs w:val="22"/>
        </w:rPr>
        <w:t>r Gemeinde separat entschädigt.</w:t>
      </w:r>
    </w:p>
    <w:p w:rsidR="00B708EB" w:rsidRPr="0044046C" w:rsidRDefault="00B708EB" w:rsidP="00B708EB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t xml:space="preserve">Die Durchführung der </w:t>
      </w:r>
      <w:r w:rsidR="00CF18FD">
        <w:rPr>
          <w:sz w:val="22"/>
          <w:szCs w:val="22"/>
        </w:rPr>
        <w:t xml:space="preserve">Kontrolle und der </w:t>
      </w:r>
      <w:r w:rsidRPr="0044046C">
        <w:rPr>
          <w:sz w:val="22"/>
          <w:szCs w:val="22"/>
        </w:rPr>
        <w:t xml:space="preserve">Emissionsmessung </w:t>
      </w:r>
      <w:r>
        <w:rPr>
          <w:sz w:val="22"/>
          <w:szCs w:val="22"/>
        </w:rPr>
        <w:t>erfolgt</w:t>
      </w:r>
      <w:r w:rsidRPr="0044046C">
        <w:rPr>
          <w:sz w:val="22"/>
          <w:szCs w:val="22"/>
        </w:rPr>
        <w:t xml:space="preserve"> nach den </w:t>
      </w:r>
      <w:r w:rsidRPr="00057814">
        <w:rPr>
          <w:i/>
          <w:sz w:val="22"/>
          <w:szCs w:val="22"/>
        </w:rPr>
        <w:t>«Messempfehlungen Feuerungen. Bundesamt für Umwelt, Bern. Umwelt-Vollzug Nr. 1319»</w:t>
      </w:r>
      <w:r w:rsidRPr="00057814">
        <w:rPr>
          <w:sz w:val="22"/>
          <w:szCs w:val="22"/>
        </w:rPr>
        <w:t xml:space="preserve"> </w:t>
      </w:r>
      <w:r w:rsidRPr="00111FE0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den </w:t>
      </w:r>
      <w:r w:rsidRPr="00111FE0">
        <w:rPr>
          <w:sz w:val="22"/>
          <w:szCs w:val="22"/>
        </w:rPr>
        <w:t xml:space="preserve">Weisungen </w:t>
      </w:r>
      <w:r>
        <w:rPr>
          <w:sz w:val="22"/>
          <w:szCs w:val="22"/>
        </w:rPr>
        <w:t xml:space="preserve">des </w:t>
      </w:r>
      <w:r w:rsidRPr="00111FE0">
        <w:rPr>
          <w:sz w:val="22"/>
          <w:szCs w:val="22"/>
        </w:rPr>
        <w:t>Amt</w:t>
      </w:r>
      <w:r>
        <w:rPr>
          <w:sz w:val="22"/>
          <w:szCs w:val="22"/>
        </w:rPr>
        <w:t>s</w:t>
      </w:r>
      <w:r w:rsidRPr="00111FE0">
        <w:rPr>
          <w:sz w:val="22"/>
          <w:szCs w:val="22"/>
        </w:rPr>
        <w:t xml:space="preserve"> für Umwelt</w:t>
      </w:r>
      <w:r w:rsidR="00CF18FD">
        <w:rPr>
          <w:sz w:val="22"/>
          <w:szCs w:val="22"/>
        </w:rPr>
        <w:t xml:space="preserve"> (</w:t>
      </w:r>
      <w:r w:rsidR="00CF18FD">
        <w:rPr>
          <w:rFonts w:cs="Arial"/>
          <w:sz w:val="22"/>
          <w:szCs w:val="22"/>
        </w:rPr>
        <w:t>«</w:t>
      </w:r>
      <w:r w:rsidR="00CF18FD" w:rsidRPr="00CF18FD">
        <w:rPr>
          <w:i/>
          <w:sz w:val="22"/>
          <w:szCs w:val="22"/>
        </w:rPr>
        <w:t>Merkblatt Feuerungskontrolle</w:t>
      </w:r>
      <w:r w:rsidR="00CF18FD">
        <w:rPr>
          <w:rFonts w:cs="Arial"/>
          <w:i/>
          <w:sz w:val="22"/>
          <w:szCs w:val="22"/>
        </w:rPr>
        <w:t>»</w:t>
      </w:r>
      <w:r w:rsidR="00CF18FD">
        <w:rPr>
          <w:sz w:val="22"/>
          <w:szCs w:val="22"/>
        </w:rPr>
        <w:t>)</w:t>
      </w:r>
      <w:r w:rsidRPr="0044046C">
        <w:rPr>
          <w:sz w:val="22"/>
          <w:szCs w:val="22"/>
        </w:rPr>
        <w:t>.</w:t>
      </w:r>
    </w:p>
    <w:p w:rsidR="0044046C" w:rsidRPr="0044046C" w:rsidRDefault="0044046C" w:rsidP="00057814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t xml:space="preserve">Die ausführenden </w:t>
      </w:r>
      <w:r w:rsidR="00057814">
        <w:rPr>
          <w:sz w:val="22"/>
          <w:szCs w:val="22"/>
        </w:rPr>
        <w:t>Fachpersonen</w:t>
      </w:r>
      <w:r w:rsidRPr="0044046C">
        <w:rPr>
          <w:sz w:val="22"/>
          <w:szCs w:val="22"/>
        </w:rPr>
        <w:t xml:space="preserve"> müssen über das Anforderungsprofil gemäss </w:t>
      </w:r>
      <w:r w:rsidR="00057814" w:rsidRPr="00057814">
        <w:rPr>
          <w:i/>
          <w:sz w:val="22"/>
          <w:szCs w:val="22"/>
        </w:rPr>
        <w:t>«Messempfehlungen Feuerungen. Bundesamt für Umwelt, Bern. Umwelt-Vollzug Nr. 1319»</w:t>
      </w:r>
      <w:r w:rsidR="00057814" w:rsidRPr="00057814">
        <w:rPr>
          <w:sz w:val="22"/>
          <w:szCs w:val="22"/>
        </w:rPr>
        <w:t xml:space="preserve"> </w:t>
      </w:r>
      <w:r w:rsidR="001502B4">
        <w:rPr>
          <w:sz w:val="22"/>
          <w:szCs w:val="22"/>
        </w:rPr>
        <w:t>verfügen.</w:t>
      </w:r>
    </w:p>
    <w:p w:rsidR="00224A6C" w:rsidRDefault="00120F59" w:rsidP="00224A6C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t xml:space="preserve">Es dürfen nur Messgeräte verwendet werden, die vom </w:t>
      </w:r>
      <w:r>
        <w:rPr>
          <w:sz w:val="22"/>
          <w:szCs w:val="22"/>
        </w:rPr>
        <w:t>Eidgenössischen</w:t>
      </w:r>
      <w:r w:rsidRPr="00224A6C">
        <w:rPr>
          <w:sz w:val="22"/>
          <w:szCs w:val="22"/>
        </w:rPr>
        <w:t xml:space="preserve"> Institut für Metrologie</w:t>
      </w:r>
      <w:r>
        <w:rPr>
          <w:sz w:val="22"/>
          <w:szCs w:val="22"/>
        </w:rPr>
        <w:t xml:space="preserve"> (METAS)</w:t>
      </w:r>
      <w:r w:rsidRPr="0044046C">
        <w:rPr>
          <w:sz w:val="22"/>
          <w:szCs w:val="22"/>
        </w:rPr>
        <w:t xml:space="preserve"> typengeprüft sind und jährlich durch ein anerkanntes Prüflabor </w:t>
      </w:r>
      <w:r>
        <w:rPr>
          <w:sz w:val="22"/>
          <w:szCs w:val="22"/>
        </w:rPr>
        <w:t xml:space="preserve">zertifiziert </w:t>
      </w:r>
      <w:r w:rsidRPr="0044046C">
        <w:rPr>
          <w:sz w:val="22"/>
          <w:szCs w:val="22"/>
        </w:rPr>
        <w:t>werden.</w:t>
      </w:r>
      <w:r w:rsidRPr="00C56494">
        <w:rPr>
          <w:sz w:val="22"/>
          <w:szCs w:val="22"/>
        </w:rPr>
        <w:t xml:space="preserve"> </w:t>
      </w:r>
      <w:r>
        <w:rPr>
          <w:sz w:val="22"/>
          <w:szCs w:val="22"/>
        </w:rPr>
        <w:t>Die Eichzertifikate</w:t>
      </w:r>
      <w:r w:rsidRPr="00C56494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Pr="00C56494">
        <w:rPr>
          <w:sz w:val="22"/>
          <w:szCs w:val="22"/>
        </w:rPr>
        <w:t xml:space="preserve"> der Gemeinde </w:t>
      </w:r>
      <w:r>
        <w:rPr>
          <w:sz w:val="22"/>
          <w:szCs w:val="22"/>
        </w:rPr>
        <w:t>auf Verlangen vorzuweisen.</w:t>
      </w:r>
    </w:p>
    <w:p w:rsidR="0044046C" w:rsidRPr="0044046C" w:rsidRDefault="0044046C" w:rsidP="004E5628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t xml:space="preserve">Die </w:t>
      </w:r>
      <w:r w:rsidR="005C4D41">
        <w:rPr>
          <w:sz w:val="22"/>
          <w:szCs w:val="22"/>
        </w:rPr>
        <w:t xml:space="preserve">Kontrolle, </w:t>
      </w:r>
      <w:r w:rsidRPr="0044046C">
        <w:rPr>
          <w:sz w:val="22"/>
          <w:szCs w:val="22"/>
        </w:rPr>
        <w:t xml:space="preserve">Messungen </w:t>
      </w:r>
      <w:r w:rsidR="00E4136F">
        <w:rPr>
          <w:sz w:val="22"/>
          <w:szCs w:val="22"/>
        </w:rPr>
        <w:t xml:space="preserve">und </w:t>
      </w:r>
      <w:r w:rsidR="00D07391">
        <w:rPr>
          <w:sz w:val="22"/>
          <w:szCs w:val="22"/>
        </w:rPr>
        <w:t>Anlage</w:t>
      </w:r>
      <w:r w:rsidRPr="0044046C">
        <w:rPr>
          <w:sz w:val="22"/>
          <w:szCs w:val="22"/>
        </w:rPr>
        <w:t xml:space="preserve">daten müssen </w:t>
      </w:r>
      <w:r w:rsidR="00D07391">
        <w:rPr>
          <w:sz w:val="22"/>
          <w:szCs w:val="22"/>
        </w:rPr>
        <w:t xml:space="preserve">gemäss Vorgabe </w:t>
      </w:r>
      <w:r w:rsidR="00E4136F" w:rsidRPr="0044046C">
        <w:rPr>
          <w:sz w:val="22"/>
          <w:szCs w:val="22"/>
        </w:rPr>
        <w:t xml:space="preserve">Amt für Umwelt </w:t>
      </w:r>
      <w:r w:rsidRPr="0044046C">
        <w:rPr>
          <w:sz w:val="22"/>
          <w:szCs w:val="22"/>
        </w:rPr>
        <w:t xml:space="preserve">dokumentiert werden. Die kontrollierende Fachperson hat die Richtigkeit aller Einträge mit ihrer Unterschrift zu bestätigen. Computermessstreifen </w:t>
      </w:r>
      <w:r w:rsidR="00CC4C51">
        <w:rPr>
          <w:sz w:val="22"/>
          <w:szCs w:val="22"/>
        </w:rPr>
        <w:t>und Russfilter (bei Öl)</w:t>
      </w:r>
      <w:r w:rsidR="00CC4C51" w:rsidRPr="0044046C">
        <w:rPr>
          <w:sz w:val="22"/>
          <w:szCs w:val="22"/>
        </w:rPr>
        <w:t xml:space="preserve"> </w:t>
      </w:r>
      <w:r w:rsidRPr="0044046C">
        <w:rPr>
          <w:sz w:val="22"/>
          <w:szCs w:val="22"/>
        </w:rPr>
        <w:t>sind an das Rapportformular zu heften.</w:t>
      </w:r>
    </w:p>
    <w:p w:rsidR="00D07391" w:rsidRDefault="0044046C" w:rsidP="00664F2C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664F2C">
        <w:rPr>
          <w:sz w:val="22"/>
          <w:szCs w:val="22"/>
        </w:rPr>
        <w:t>Werden Anlagen beanstandet so wird der Betreiber der Anlage aufgefordert, diese innert 30 Tagen einzuregulieren</w:t>
      </w:r>
      <w:r w:rsidR="00F6460C">
        <w:rPr>
          <w:sz w:val="22"/>
          <w:szCs w:val="22"/>
        </w:rPr>
        <w:t xml:space="preserve"> oder die Mängel zu beheben</w:t>
      </w:r>
      <w:r w:rsidRPr="00664F2C">
        <w:rPr>
          <w:sz w:val="22"/>
          <w:szCs w:val="22"/>
        </w:rPr>
        <w:t xml:space="preserve">. Servicerapporte </w:t>
      </w:r>
      <w:r w:rsidR="00E4136F">
        <w:rPr>
          <w:sz w:val="22"/>
          <w:szCs w:val="22"/>
        </w:rPr>
        <w:t xml:space="preserve">von </w:t>
      </w:r>
      <w:r w:rsidR="00E4136F" w:rsidRPr="00B940F4">
        <w:rPr>
          <w:sz w:val="22"/>
          <w:szCs w:val="22"/>
        </w:rPr>
        <w:t xml:space="preserve">Service- und </w:t>
      </w:r>
      <w:r w:rsidR="002B7811">
        <w:rPr>
          <w:sz w:val="22"/>
          <w:szCs w:val="22"/>
        </w:rPr>
        <w:t>Mess</w:t>
      </w:r>
      <w:r w:rsidR="002B7811" w:rsidRPr="009C1B0D">
        <w:rPr>
          <w:sz w:val="22"/>
          <w:szCs w:val="22"/>
        </w:rPr>
        <w:t>unternehmen</w:t>
      </w:r>
      <w:r w:rsidR="002B7811" w:rsidRPr="00B4527B">
        <w:rPr>
          <w:sz w:val="22"/>
          <w:szCs w:val="22"/>
        </w:rPr>
        <w:t xml:space="preserve"> </w:t>
      </w:r>
      <w:r w:rsidRPr="00664F2C">
        <w:rPr>
          <w:sz w:val="22"/>
          <w:szCs w:val="22"/>
        </w:rPr>
        <w:t>können als Nachkontrolle bei beanstandeten Anlagen anerkannt werden. Nachkontrollen und deren Ergebnis müssen</w:t>
      </w:r>
      <w:r w:rsidR="00D07391">
        <w:rPr>
          <w:sz w:val="22"/>
          <w:szCs w:val="22"/>
        </w:rPr>
        <w:t xml:space="preserve"> von der </w:t>
      </w:r>
      <w:r w:rsidR="00D07391">
        <w:rPr>
          <w:rFonts w:cs="Arial"/>
          <w:sz w:val="22"/>
          <w:szCs w:val="22"/>
        </w:rPr>
        <w:t xml:space="preserve">Fachstelle </w:t>
      </w:r>
      <w:r w:rsidR="00D07391" w:rsidRPr="0044046C">
        <w:rPr>
          <w:sz w:val="22"/>
          <w:szCs w:val="22"/>
        </w:rPr>
        <w:t xml:space="preserve">Feuerungskontrolle </w:t>
      </w:r>
      <w:r w:rsidR="00E4136F">
        <w:rPr>
          <w:sz w:val="22"/>
          <w:szCs w:val="22"/>
        </w:rPr>
        <w:t xml:space="preserve">erfasst, verwaltet und kontrolliert </w:t>
      </w:r>
      <w:r w:rsidRPr="00664F2C">
        <w:rPr>
          <w:sz w:val="22"/>
          <w:szCs w:val="22"/>
        </w:rPr>
        <w:t>werden.</w:t>
      </w:r>
    </w:p>
    <w:p w:rsidR="0044046C" w:rsidRPr="00664F2C" w:rsidRDefault="00D07391" w:rsidP="00664F2C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Können die Grenzwerte nicht eingehalten werden</w:t>
      </w:r>
      <w:r w:rsidR="00F6460C">
        <w:rPr>
          <w:sz w:val="22"/>
          <w:szCs w:val="22"/>
        </w:rPr>
        <w:t xml:space="preserve"> oder werden Mängel in der angesetzten Frist nicht behoben, erlässt die </w:t>
      </w:r>
      <w:r w:rsidR="00E4136F" w:rsidRPr="0044046C">
        <w:rPr>
          <w:sz w:val="22"/>
          <w:szCs w:val="22"/>
        </w:rPr>
        <w:t xml:space="preserve">Gemeinde </w:t>
      </w:r>
      <w:r w:rsidR="0044046C" w:rsidRPr="00664F2C">
        <w:rPr>
          <w:sz w:val="22"/>
          <w:szCs w:val="22"/>
        </w:rPr>
        <w:t>Sanierungsverfügungen. Die</w:t>
      </w:r>
      <w:r w:rsidR="0032515F">
        <w:rPr>
          <w:sz w:val="22"/>
          <w:szCs w:val="22"/>
        </w:rPr>
        <w:t xml:space="preserve"> Fachstelle </w:t>
      </w:r>
      <w:r w:rsidR="0044046C" w:rsidRPr="00664F2C">
        <w:rPr>
          <w:sz w:val="22"/>
          <w:szCs w:val="22"/>
        </w:rPr>
        <w:t xml:space="preserve"> </w:t>
      </w:r>
      <w:r w:rsidR="0032515F" w:rsidRPr="0044046C">
        <w:rPr>
          <w:sz w:val="22"/>
          <w:szCs w:val="22"/>
        </w:rPr>
        <w:t>Feuerungskontrolle</w:t>
      </w:r>
      <w:r w:rsidR="0032515F">
        <w:rPr>
          <w:sz w:val="22"/>
          <w:szCs w:val="22"/>
        </w:rPr>
        <w:t xml:space="preserve"> bereitet die Sanierungsverfügungen zuhanden der Gemeinde vor und kontrolliert deren</w:t>
      </w:r>
      <w:r w:rsidR="00F6460C">
        <w:rPr>
          <w:sz w:val="22"/>
          <w:szCs w:val="22"/>
        </w:rPr>
        <w:t xml:space="preserve"> </w:t>
      </w:r>
      <w:r w:rsidR="0032515F">
        <w:rPr>
          <w:sz w:val="22"/>
          <w:szCs w:val="22"/>
        </w:rPr>
        <w:t>Umsetzung.</w:t>
      </w:r>
    </w:p>
    <w:p w:rsidR="0044046C" w:rsidRPr="0044046C" w:rsidRDefault="00F6460C" w:rsidP="00664F2C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Die</w:t>
      </w:r>
      <w:r w:rsidR="0044046C" w:rsidRPr="0044046C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Fachstelle </w:t>
      </w:r>
      <w:r w:rsidRPr="0044046C">
        <w:rPr>
          <w:sz w:val="22"/>
          <w:szCs w:val="22"/>
        </w:rPr>
        <w:t>Feuerungskontrolle</w:t>
      </w:r>
      <w:r>
        <w:rPr>
          <w:sz w:val="22"/>
          <w:szCs w:val="22"/>
        </w:rPr>
        <w:t xml:space="preserve"> </w:t>
      </w:r>
      <w:r w:rsidR="002C063D">
        <w:rPr>
          <w:sz w:val="22"/>
          <w:szCs w:val="22"/>
        </w:rPr>
        <w:t>gewährt</w:t>
      </w:r>
      <w:r w:rsidR="0044046C" w:rsidRPr="0044046C">
        <w:rPr>
          <w:sz w:val="22"/>
          <w:szCs w:val="22"/>
        </w:rPr>
        <w:t xml:space="preserve"> der </w:t>
      </w:r>
      <w:r w:rsidR="00B1456B" w:rsidRPr="0044046C">
        <w:rPr>
          <w:sz w:val="22"/>
          <w:szCs w:val="22"/>
        </w:rPr>
        <w:t xml:space="preserve">Gemeinde </w:t>
      </w:r>
      <w:r w:rsidR="0044046C" w:rsidRPr="0044046C">
        <w:rPr>
          <w:sz w:val="22"/>
          <w:szCs w:val="22"/>
        </w:rPr>
        <w:t xml:space="preserve">auf Verlangen Einsicht in die separat </w:t>
      </w:r>
      <w:r w:rsidR="002C063D">
        <w:rPr>
          <w:sz w:val="22"/>
          <w:szCs w:val="22"/>
        </w:rPr>
        <w:t>zu führende Rechnung</w:t>
      </w:r>
      <w:r w:rsidR="0044046C" w:rsidRPr="0044046C">
        <w:rPr>
          <w:sz w:val="22"/>
          <w:szCs w:val="22"/>
        </w:rPr>
        <w:t xml:space="preserve">. Bei Unstimmigkeiten kann die </w:t>
      </w:r>
      <w:r w:rsidR="00B1456B" w:rsidRPr="0044046C">
        <w:rPr>
          <w:sz w:val="22"/>
          <w:szCs w:val="22"/>
        </w:rPr>
        <w:t xml:space="preserve">Gemeinde </w:t>
      </w:r>
      <w:r w:rsidR="0044046C" w:rsidRPr="0044046C">
        <w:rPr>
          <w:sz w:val="22"/>
          <w:szCs w:val="22"/>
        </w:rPr>
        <w:t>eine Prüfung durch die Rechnungsprüfungskommission veranlassen.</w:t>
      </w:r>
    </w:p>
    <w:p w:rsidR="0044046C" w:rsidRPr="003A7B10" w:rsidRDefault="0044046C" w:rsidP="00A878FE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3A7B10">
        <w:rPr>
          <w:sz w:val="22"/>
          <w:szCs w:val="22"/>
        </w:rPr>
        <w:t xml:space="preserve">Die jährliche Berichterstattung </w:t>
      </w:r>
      <w:r w:rsidR="003A7B10" w:rsidRPr="003A7B10">
        <w:rPr>
          <w:sz w:val="22"/>
          <w:szCs w:val="22"/>
        </w:rPr>
        <w:t xml:space="preserve">(Feuerungskontrollstatistik) </w:t>
      </w:r>
      <w:r w:rsidRPr="003A7B10">
        <w:rPr>
          <w:sz w:val="22"/>
          <w:szCs w:val="22"/>
        </w:rPr>
        <w:t xml:space="preserve">an die </w:t>
      </w:r>
      <w:r w:rsidR="00B1456B" w:rsidRPr="003A7B10">
        <w:rPr>
          <w:sz w:val="22"/>
          <w:szCs w:val="22"/>
        </w:rPr>
        <w:t>Gemeinde</w:t>
      </w:r>
      <w:r w:rsidR="003A7B10" w:rsidRPr="003A7B10">
        <w:rPr>
          <w:sz w:val="22"/>
          <w:szCs w:val="22"/>
        </w:rPr>
        <w:t xml:space="preserve"> und das Amt für Umwelt erfolgt bis zum 31</w:t>
      </w:r>
      <w:r w:rsidRPr="003A7B10">
        <w:rPr>
          <w:sz w:val="22"/>
          <w:szCs w:val="22"/>
        </w:rPr>
        <w:t xml:space="preserve">. </w:t>
      </w:r>
      <w:r w:rsidR="003A7B10" w:rsidRPr="003A7B10">
        <w:rPr>
          <w:sz w:val="22"/>
          <w:szCs w:val="22"/>
        </w:rPr>
        <w:t>August</w:t>
      </w:r>
      <w:r w:rsidRPr="003A7B10">
        <w:rPr>
          <w:sz w:val="22"/>
          <w:szCs w:val="22"/>
        </w:rPr>
        <w:t xml:space="preserve"> in schriftlicher Form</w:t>
      </w:r>
      <w:r w:rsidR="003A7B10" w:rsidRPr="003A7B10">
        <w:rPr>
          <w:sz w:val="22"/>
          <w:szCs w:val="22"/>
        </w:rPr>
        <w:t xml:space="preserve"> gemäss Vorgabe Amt für Umwelt</w:t>
      </w:r>
      <w:r w:rsidRPr="003A7B10">
        <w:rPr>
          <w:sz w:val="22"/>
          <w:szCs w:val="22"/>
        </w:rPr>
        <w:t xml:space="preserve">. Die </w:t>
      </w:r>
      <w:r w:rsidR="00B1456B" w:rsidRPr="003A7B10">
        <w:rPr>
          <w:sz w:val="22"/>
          <w:szCs w:val="22"/>
        </w:rPr>
        <w:t xml:space="preserve">Gemeinde </w:t>
      </w:r>
      <w:r w:rsidRPr="003A7B10">
        <w:rPr>
          <w:sz w:val="22"/>
          <w:szCs w:val="22"/>
        </w:rPr>
        <w:t>kann weitere Informationen verlangen.</w:t>
      </w:r>
    </w:p>
    <w:p w:rsidR="0044046C" w:rsidRPr="0044046C" w:rsidRDefault="0044046C" w:rsidP="00664F2C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t>Diese Vereinbarung tritt nach der gegenseitigen Unterzeichnung in Kraft</w:t>
      </w:r>
      <w:r w:rsidR="00566259">
        <w:rPr>
          <w:sz w:val="22"/>
          <w:szCs w:val="22"/>
        </w:rPr>
        <w:t xml:space="preserve">. Die Laufzeit der Vereinbarung beträgt 4 Jahre. </w:t>
      </w:r>
      <w:r w:rsidRPr="0044046C">
        <w:rPr>
          <w:sz w:val="22"/>
          <w:szCs w:val="22"/>
        </w:rPr>
        <w:t xml:space="preserve">Erfolgt durch keine der Parteien eine Kündigung, so </w:t>
      </w:r>
      <w:r w:rsidRPr="0044046C">
        <w:rPr>
          <w:sz w:val="22"/>
          <w:szCs w:val="22"/>
        </w:rPr>
        <w:lastRenderedPageBreak/>
        <w:t xml:space="preserve">wird sie stillschweigend jeweils um ein weiteres Jahr verlängert. Die ordentliche Kündigungsfrist beträgt </w:t>
      </w:r>
      <w:r w:rsidR="00AD5686">
        <w:rPr>
          <w:sz w:val="22"/>
          <w:szCs w:val="22"/>
        </w:rPr>
        <w:t>sechs</w:t>
      </w:r>
      <w:r w:rsidRPr="0044046C">
        <w:rPr>
          <w:sz w:val="22"/>
          <w:szCs w:val="22"/>
        </w:rPr>
        <w:t xml:space="preserve"> Monate</w:t>
      </w:r>
      <w:r w:rsidR="00566259" w:rsidRPr="00566259">
        <w:rPr>
          <w:sz w:val="22"/>
          <w:szCs w:val="22"/>
        </w:rPr>
        <w:t xml:space="preserve"> </w:t>
      </w:r>
      <w:r w:rsidR="00566259">
        <w:rPr>
          <w:sz w:val="22"/>
          <w:szCs w:val="22"/>
        </w:rPr>
        <w:t xml:space="preserve">auf </w:t>
      </w:r>
      <w:r w:rsidR="00566259" w:rsidRPr="0044046C">
        <w:rPr>
          <w:sz w:val="22"/>
          <w:szCs w:val="22"/>
        </w:rPr>
        <w:t xml:space="preserve">Ende </w:t>
      </w:r>
      <w:r w:rsidR="00566259">
        <w:rPr>
          <w:sz w:val="22"/>
          <w:szCs w:val="22"/>
        </w:rPr>
        <w:t>der</w:t>
      </w:r>
      <w:r w:rsidR="00566259" w:rsidRPr="0044046C">
        <w:rPr>
          <w:sz w:val="22"/>
          <w:szCs w:val="22"/>
        </w:rPr>
        <w:t xml:space="preserve"> Heizperiode (d.h. </w:t>
      </w:r>
      <w:r w:rsidR="00566259">
        <w:rPr>
          <w:sz w:val="22"/>
          <w:szCs w:val="22"/>
        </w:rPr>
        <w:t xml:space="preserve">auf </w:t>
      </w:r>
      <w:r w:rsidR="00566259" w:rsidRPr="0044046C">
        <w:rPr>
          <w:sz w:val="22"/>
          <w:szCs w:val="22"/>
        </w:rPr>
        <w:t>30. Juni).</w:t>
      </w:r>
    </w:p>
    <w:p w:rsidR="0044046C" w:rsidRPr="0044046C" w:rsidRDefault="0044046C" w:rsidP="00664F2C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t xml:space="preserve">Bei Nichteinhaltung der Vereinbarung kann die </w:t>
      </w:r>
      <w:r w:rsidR="00B1456B" w:rsidRPr="0044046C">
        <w:rPr>
          <w:sz w:val="22"/>
          <w:szCs w:val="22"/>
        </w:rPr>
        <w:t xml:space="preserve">Gemeinde </w:t>
      </w:r>
      <w:r w:rsidRPr="0044046C">
        <w:rPr>
          <w:sz w:val="22"/>
          <w:szCs w:val="22"/>
        </w:rPr>
        <w:t xml:space="preserve">die Vereinbarung innert </w:t>
      </w:r>
      <w:r w:rsidR="00AD5686">
        <w:rPr>
          <w:sz w:val="22"/>
          <w:szCs w:val="22"/>
        </w:rPr>
        <w:t>drei Monate</w:t>
      </w:r>
      <w:r w:rsidRPr="0044046C">
        <w:rPr>
          <w:sz w:val="22"/>
          <w:szCs w:val="22"/>
        </w:rPr>
        <w:t xml:space="preserve"> </w:t>
      </w:r>
      <w:r w:rsidR="005023BC">
        <w:rPr>
          <w:sz w:val="22"/>
          <w:szCs w:val="22"/>
        </w:rPr>
        <w:t xml:space="preserve">auf jedes Monatsende </w:t>
      </w:r>
      <w:r w:rsidRPr="0044046C">
        <w:rPr>
          <w:sz w:val="22"/>
          <w:szCs w:val="22"/>
        </w:rPr>
        <w:t xml:space="preserve">kündigen. Vor der Kündigung wird die </w:t>
      </w:r>
      <w:r w:rsidR="0055491C">
        <w:rPr>
          <w:rFonts w:cs="Arial"/>
          <w:sz w:val="22"/>
          <w:szCs w:val="22"/>
        </w:rPr>
        <w:t xml:space="preserve">Fachstelle </w:t>
      </w:r>
      <w:r w:rsidR="0055491C" w:rsidRPr="0044046C">
        <w:rPr>
          <w:sz w:val="22"/>
          <w:szCs w:val="22"/>
        </w:rPr>
        <w:t>Feuerungskontrolle</w:t>
      </w:r>
      <w:r w:rsidR="0055491C">
        <w:rPr>
          <w:sz w:val="22"/>
          <w:szCs w:val="22"/>
        </w:rPr>
        <w:t xml:space="preserve"> </w:t>
      </w:r>
      <w:r w:rsidRPr="0044046C">
        <w:rPr>
          <w:sz w:val="22"/>
          <w:szCs w:val="22"/>
        </w:rPr>
        <w:t>angehört.</w:t>
      </w:r>
    </w:p>
    <w:p w:rsidR="0044046C" w:rsidRPr="0044046C" w:rsidRDefault="0044046C" w:rsidP="00A37696">
      <w:pPr>
        <w:pStyle w:val="Listenabsatz"/>
        <w:numPr>
          <w:ilvl w:val="0"/>
          <w:numId w:val="16"/>
        </w:numPr>
        <w:spacing w:before="180" w:after="60" w:line="300" w:lineRule="exact"/>
        <w:ind w:left="567" w:hanging="567"/>
        <w:contextualSpacing w:val="0"/>
        <w:rPr>
          <w:sz w:val="22"/>
          <w:szCs w:val="22"/>
        </w:rPr>
      </w:pPr>
      <w:r w:rsidRPr="0044046C">
        <w:rPr>
          <w:sz w:val="22"/>
          <w:szCs w:val="22"/>
        </w:rPr>
        <w:t>Die Zuständigkeit zur Behandlung von Streitigkeiten über die Erfüllung dieser Vereinbarung richtet sich nach dem Gesetz über die Verwaltungsrechtspflege</w:t>
      </w:r>
      <w:r w:rsidR="002C063D">
        <w:rPr>
          <w:sz w:val="22"/>
          <w:szCs w:val="22"/>
        </w:rPr>
        <w:t xml:space="preserve"> (VRG 170.1)</w:t>
      </w:r>
      <w:r w:rsidRPr="0044046C">
        <w:rPr>
          <w:sz w:val="22"/>
          <w:szCs w:val="22"/>
        </w:rPr>
        <w:t>.</w:t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334E5C">
      <w:pPr>
        <w:tabs>
          <w:tab w:val="left" w:pos="4536"/>
        </w:tabs>
        <w:spacing w:before="60" w:line="300" w:lineRule="exact"/>
        <w:rPr>
          <w:sz w:val="22"/>
          <w:szCs w:val="22"/>
        </w:rPr>
      </w:pPr>
      <w:r w:rsidRPr="0044046C">
        <w:rPr>
          <w:sz w:val="22"/>
          <w:szCs w:val="22"/>
        </w:rPr>
        <w:t>Ort und Datum</w:t>
      </w:r>
      <w:r w:rsidRPr="0044046C">
        <w:rPr>
          <w:sz w:val="22"/>
          <w:szCs w:val="22"/>
        </w:rPr>
        <w:tab/>
        <w:t>Ort und Datum</w:t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334E5C">
      <w:pPr>
        <w:tabs>
          <w:tab w:val="left" w:pos="4536"/>
        </w:tabs>
        <w:spacing w:before="60" w:line="300" w:lineRule="exact"/>
        <w:rPr>
          <w:sz w:val="22"/>
          <w:szCs w:val="22"/>
        </w:rPr>
      </w:pPr>
      <w:r w:rsidRPr="0044046C">
        <w:rPr>
          <w:sz w:val="22"/>
          <w:szCs w:val="22"/>
        </w:rPr>
        <w:t>.....................................................</w:t>
      </w:r>
      <w:r w:rsidRPr="0044046C">
        <w:rPr>
          <w:sz w:val="22"/>
          <w:szCs w:val="22"/>
        </w:rPr>
        <w:tab/>
        <w:t>.....................................................</w:t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334E5C">
      <w:pPr>
        <w:tabs>
          <w:tab w:val="left" w:pos="4536"/>
        </w:tabs>
        <w:spacing w:before="60" w:line="300" w:lineRule="exact"/>
        <w:rPr>
          <w:sz w:val="22"/>
          <w:szCs w:val="22"/>
        </w:rPr>
      </w:pPr>
      <w:r w:rsidRPr="0044046C">
        <w:rPr>
          <w:sz w:val="22"/>
          <w:szCs w:val="22"/>
        </w:rPr>
        <w:t>Politische Gemeinde</w:t>
      </w:r>
      <w:r w:rsidRPr="0044046C">
        <w:rPr>
          <w:sz w:val="22"/>
          <w:szCs w:val="22"/>
        </w:rPr>
        <w:tab/>
      </w:r>
      <w:r w:rsidRPr="00F1602F">
        <w:rPr>
          <w:b/>
          <w:i/>
          <w:smallCaps/>
          <w:color w:val="4F6228" w:themeColor="accent3" w:themeShade="80"/>
          <w:sz w:val="22"/>
          <w:szCs w:val="22"/>
          <w:shd w:val="clear" w:color="auto" w:fill="EAF1DD" w:themeFill="accent3" w:themeFillTint="33"/>
        </w:rPr>
        <w:t>Vertragspartner</w:t>
      </w:r>
    </w:p>
    <w:p w:rsidR="0044046C" w:rsidRPr="00CD1FF1" w:rsidRDefault="00A33AF5" w:rsidP="00A33AF5">
      <w:pPr>
        <w:tabs>
          <w:tab w:val="left" w:pos="4536"/>
        </w:tabs>
        <w:spacing w:before="60" w:line="300" w:lineRule="exact"/>
        <w:rPr>
          <w:sz w:val="22"/>
          <w:szCs w:val="22"/>
        </w:rPr>
      </w:pPr>
      <w:r w:rsidRPr="00F1602F">
        <w:rPr>
          <w:b/>
          <w:i/>
          <w:smallCaps/>
          <w:color w:val="4F6228" w:themeColor="accent3" w:themeShade="80"/>
          <w:sz w:val="22"/>
          <w:szCs w:val="22"/>
          <w:shd w:val="clear" w:color="auto" w:fill="EAF1DD" w:themeFill="accent3" w:themeFillTint="33"/>
        </w:rPr>
        <w:t>Politische Gemeinde</w:t>
      </w:r>
      <w:r w:rsidRPr="00CD1FF1">
        <w:rPr>
          <w:sz w:val="22"/>
          <w:szCs w:val="22"/>
        </w:rPr>
        <w:tab/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CD1FF1">
      <w:pPr>
        <w:tabs>
          <w:tab w:val="left" w:pos="4536"/>
        </w:tabs>
        <w:spacing w:before="60" w:line="300" w:lineRule="exact"/>
        <w:rPr>
          <w:sz w:val="22"/>
          <w:szCs w:val="22"/>
        </w:rPr>
      </w:pPr>
      <w:r w:rsidRPr="0044046C">
        <w:rPr>
          <w:sz w:val="22"/>
          <w:szCs w:val="22"/>
        </w:rPr>
        <w:t>.....................................................</w:t>
      </w:r>
      <w:r w:rsidRPr="0044046C">
        <w:rPr>
          <w:sz w:val="22"/>
          <w:szCs w:val="22"/>
        </w:rPr>
        <w:tab/>
        <w:t>.....................................................</w:t>
      </w: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</w:p>
    <w:p w:rsidR="0044046C" w:rsidRPr="0044046C" w:rsidRDefault="0044046C" w:rsidP="0044046C">
      <w:pPr>
        <w:spacing w:before="60" w:line="300" w:lineRule="exact"/>
        <w:rPr>
          <w:sz w:val="22"/>
          <w:szCs w:val="22"/>
        </w:rPr>
      </w:pPr>
      <w:r w:rsidRPr="0044046C">
        <w:rPr>
          <w:sz w:val="22"/>
          <w:szCs w:val="22"/>
        </w:rPr>
        <w:t>Beilage:</w:t>
      </w:r>
    </w:p>
    <w:p w:rsidR="0044046C" w:rsidRPr="002E04D4" w:rsidRDefault="0055491C" w:rsidP="0044046C">
      <w:pPr>
        <w:spacing w:before="60" w:line="300" w:lineRule="exact"/>
        <w:rPr>
          <w:sz w:val="22"/>
          <w:szCs w:val="22"/>
        </w:rPr>
      </w:pPr>
      <w:r w:rsidRPr="00057814">
        <w:rPr>
          <w:i/>
          <w:sz w:val="22"/>
          <w:szCs w:val="22"/>
        </w:rPr>
        <w:t>«Messempfehlungen Feuerungen</w:t>
      </w:r>
      <w:r w:rsidR="002E04D4" w:rsidRPr="00057814">
        <w:rPr>
          <w:i/>
          <w:sz w:val="22"/>
          <w:szCs w:val="22"/>
        </w:rPr>
        <w:t>»</w:t>
      </w:r>
      <w:r w:rsidR="002E04D4" w:rsidRPr="002E04D4">
        <w:rPr>
          <w:sz w:val="22"/>
          <w:szCs w:val="22"/>
        </w:rPr>
        <w:t xml:space="preserve"> </w:t>
      </w:r>
      <w:r w:rsidRPr="002E04D4">
        <w:rPr>
          <w:sz w:val="22"/>
          <w:szCs w:val="22"/>
        </w:rPr>
        <w:t xml:space="preserve">Bundesamt für Umwelt, Umwelt-Vollzug </w:t>
      </w:r>
      <w:r w:rsidR="002E04D4">
        <w:rPr>
          <w:sz w:val="22"/>
          <w:szCs w:val="22"/>
        </w:rPr>
        <w:t>Nr. 1319</w:t>
      </w:r>
    </w:p>
    <w:p w:rsidR="0055491C" w:rsidRDefault="0055491C" w:rsidP="0044046C">
      <w:pPr>
        <w:spacing w:before="60" w:line="300" w:lineRule="exact"/>
        <w:rPr>
          <w:sz w:val="22"/>
          <w:szCs w:val="22"/>
        </w:rPr>
      </w:pPr>
      <w:r w:rsidRPr="00057814">
        <w:rPr>
          <w:i/>
          <w:sz w:val="22"/>
          <w:szCs w:val="22"/>
        </w:rPr>
        <w:t>«</w:t>
      </w:r>
      <w:r w:rsidRPr="0055491C">
        <w:rPr>
          <w:i/>
          <w:sz w:val="22"/>
          <w:szCs w:val="22"/>
        </w:rPr>
        <w:t>Merkblatt Feuerungskontrolle</w:t>
      </w:r>
      <w:r w:rsidRPr="0005781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</w:t>
      </w:r>
      <w:r w:rsidRPr="0055491C">
        <w:rPr>
          <w:sz w:val="22"/>
          <w:szCs w:val="22"/>
        </w:rPr>
        <w:t>betreffend Feuerungskontrolle von Öl-, Gas- und Holzfeuerungen durch die Gemeinden im Kanton Thurgau</w:t>
      </w:r>
    </w:p>
    <w:p w:rsidR="0055491C" w:rsidRDefault="0055491C" w:rsidP="0044046C">
      <w:pPr>
        <w:spacing w:before="60" w:line="300" w:lineRule="exact"/>
        <w:rPr>
          <w:sz w:val="22"/>
          <w:szCs w:val="22"/>
        </w:rPr>
      </w:pPr>
    </w:p>
    <w:p w:rsidR="0044046C" w:rsidRDefault="0044046C" w:rsidP="005D24DB">
      <w:pPr>
        <w:spacing w:before="60" w:line="300" w:lineRule="exact"/>
        <w:rPr>
          <w:sz w:val="22"/>
          <w:szCs w:val="22"/>
        </w:rPr>
      </w:pPr>
    </w:p>
    <w:p w:rsidR="0044046C" w:rsidRDefault="0044046C" w:rsidP="005D24DB">
      <w:pPr>
        <w:spacing w:before="60" w:line="300" w:lineRule="exact"/>
        <w:rPr>
          <w:sz w:val="22"/>
          <w:szCs w:val="22"/>
        </w:rPr>
      </w:pPr>
    </w:p>
    <w:sectPr w:rsidR="0044046C" w:rsidSect="00162872">
      <w:headerReference w:type="first" r:id="rId14"/>
      <w:footerReference w:type="first" r:id="rId15"/>
      <w:pgSz w:w="11906" w:h="16838" w:code="9"/>
      <w:pgMar w:top="1247" w:right="1134" w:bottom="1418" w:left="1701" w:header="680" w:footer="10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35" w:rsidRDefault="00C62B35" w:rsidP="007142EC">
      <w:r>
        <w:separator/>
      </w:r>
    </w:p>
  </w:endnote>
  <w:endnote w:type="continuationSeparator" w:id="0">
    <w:p w:rsidR="00C62B35" w:rsidRDefault="00C62B35" w:rsidP="0071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BQ Light">
    <w:altName w:val="Akzidenz-Grotesk BQ Light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5" w:rsidRPr="00FB77E1" w:rsidRDefault="00162872" w:rsidP="00FB77E1">
    <w:pPr>
      <w:pStyle w:val="Fuzeile"/>
      <w:pBdr>
        <w:top w:val="single" w:sz="6" w:space="4" w:color="auto"/>
      </w:pBdr>
      <w:rPr>
        <w:color w:val="7F7F7F" w:themeColor="text1" w:themeTint="80"/>
        <w:sz w:val="16"/>
        <w:szCs w:val="16"/>
      </w:rPr>
    </w:pPr>
    <w:r w:rsidRPr="00921ECE">
      <w:rPr>
        <w:color w:val="7F7F7F" w:themeColor="text1" w:themeTint="80"/>
        <w:sz w:val="16"/>
        <w:szCs w:val="16"/>
      </w:rPr>
      <w:t xml:space="preserve">Mustervereinbarung </w:t>
    </w:r>
    <w:r w:rsidR="00C62B35" w:rsidRPr="00921ECE">
      <w:rPr>
        <w:color w:val="7F7F7F" w:themeColor="text1" w:themeTint="80"/>
        <w:sz w:val="16"/>
        <w:szCs w:val="16"/>
      </w:rPr>
      <w:t xml:space="preserve">Feuerungskontrolle Modell 1 </w:t>
    </w:r>
    <w:r w:rsidR="00A57985" w:rsidRPr="00921ECE">
      <w:rPr>
        <w:color w:val="7F7F7F" w:themeColor="text1" w:themeTint="80"/>
        <w:sz w:val="16"/>
        <w:szCs w:val="16"/>
      </w:rPr>
      <w:t xml:space="preserve"> </w:t>
    </w:r>
    <w:r w:rsidR="00C62B35" w:rsidRPr="00921ECE">
      <w:rPr>
        <w:color w:val="7F7F7F" w:themeColor="text1" w:themeTint="80"/>
        <w:sz w:val="16"/>
        <w:szCs w:val="16"/>
      </w:rPr>
      <w:t xml:space="preserve">– </w:t>
    </w:r>
    <w:r w:rsidR="00A57985" w:rsidRPr="00921ECE">
      <w:rPr>
        <w:color w:val="7F7F7F" w:themeColor="text1" w:themeTint="80"/>
        <w:sz w:val="16"/>
        <w:szCs w:val="16"/>
      </w:rPr>
      <w:t xml:space="preserve"> </w:t>
    </w:r>
    <w:r w:rsidR="00921ECE" w:rsidRPr="00921ECE">
      <w:rPr>
        <w:color w:val="7F7F7F" w:themeColor="text1" w:themeTint="80"/>
        <w:sz w:val="16"/>
        <w:szCs w:val="16"/>
      </w:rPr>
      <w:t xml:space="preserve">Mai </w:t>
    </w:r>
    <w:r w:rsidR="00211C11" w:rsidRPr="00921ECE">
      <w:rPr>
        <w:color w:val="7F7F7F" w:themeColor="text1" w:themeTint="80"/>
        <w:sz w:val="16"/>
        <w:szCs w:val="16"/>
      </w:rPr>
      <w:t>2019</w:t>
    </w:r>
    <w:r w:rsidR="00C62B35" w:rsidRPr="00FB77E1">
      <w:rPr>
        <w:color w:val="7F7F7F" w:themeColor="text1" w:themeTint="80"/>
        <w:sz w:val="16"/>
        <w:szCs w:val="16"/>
      </w:rPr>
      <w:tab/>
    </w:r>
    <w:r w:rsidR="00C62B35" w:rsidRPr="00FB77E1">
      <w:rPr>
        <w:color w:val="7F7F7F" w:themeColor="text1" w:themeTint="80"/>
        <w:sz w:val="16"/>
        <w:szCs w:val="16"/>
      </w:rPr>
      <w:tab/>
    </w:r>
    <w:r w:rsidR="00C62B35" w:rsidRPr="00FB77E1">
      <w:rPr>
        <w:color w:val="7F7F7F" w:themeColor="text1" w:themeTint="80"/>
        <w:sz w:val="16"/>
        <w:szCs w:val="16"/>
      </w:rPr>
      <w:fldChar w:fldCharType="begin"/>
    </w:r>
    <w:r w:rsidR="00C62B35" w:rsidRPr="00FB77E1">
      <w:rPr>
        <w:color w:val="7F7F7F" w:themeColor="text1" w:themeTint="80"/>
        <w:sz w:val="16"/>
        <w:szCs w:val="16"/>
      </w:rPr>
      <w:instrText xml:space="preserve"> PAGE   \* MERGEFORMAT </w:instrText>
    </w:r>
    <w:r w:rsidR="00C62B35" w:rsidRPr="00FB77E1">
      <w:rPr>
        <w:color w:val="7F7F7F" w:themeColor="text1" w:themeTint="80"/>
        <w:sz w:val="16"/>
        <w:szCs w:val="16"/>
      </w:rPr>
      <w:fldChar w:fldCharType="separate"/>
    </w:r>
    <w:r w:rsidR="000516F5">
      <w:rPr>
        <w:noProof/>
        <w:color w:val="7F7F7F" w:themeColor="text1" w:themeTint="80"/>
        <w:sz w:val="16"/>
        <w:szCs w:val="16"/>
      </w:rPr>
      <w:t>3</w:t>
    </w:r>
    <w:r w:rsidR="00C62B35" w:rsidRPr="00FB77E1">
      <w:rPr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C62B35" w:rsidTr="00844C54">
      <w:tc>
        <w:tcPr>
          <w:tcW w:w="4605" w:type="dxa"/>
        </w:tcPr>
        <w:p w:rsidR="00C62B35" w:rsidRPr="00844C54" w:rsidRDefault="00C62B35" w:rsidP="00844C54">
          <w:pPr>
            <w:pStyle w:val="Fuzeile"/>
            <w:spacing w:before="120" w:line="240" w:lineRule="auto"/>
            <w:rPr>
              <w:rFonts w:cs="Arial"/>
              <w:color w:val="7F7F7F" w:themeColor="text1" w:themeTint="80"/>
              <w:sz w:val="16"/>
              <w:szCs w:val="16"/>
              <w:lang w:val="en-GB"/>
            </w:rPr>
          </w:pPr>
          <w:r w:rsidRPr="00844C54">
            <w:rPr>
              <w:rFonts w:cs="Arial"/>
              <w:color w:val="7F7F7F" w:themeColor="text1" w:themeTint="80"/>
              <w:sz w:val="16"/>
              <w:szCs w:val="16"/>
              <w:lang w:val="en-GB"/>
            </w:rPr>
            <w:t>Amt für Umwelt</w:t>
          </w:r>
        </w:p>
        <w:p w:rsidR="00C62B35" w:rsidRDefault="00921ECE" w:rsidP="00844C54">
          <w:pPr>
            <w:pStyle w:val="Fuzeile"/>
            <w:spacing w:before="40" w:line="240" w:lineRule="auto"/>
            <w:rPr>
              <w:rFonts w:cs="Arial"/>
              <w:color w:val="7F7F7F" w:themeColor="text1" w:themeTint="80"/>
              <w:sz w:val="16"/>
              <w:szCs w:val="16"/>
              <w:lang w:val="en-GB"/>
            </w:rPr>
          </w:pPr>
          <w:r w:rsidRPr="00921ECE">
            <w:rPr>
              <w:rFonts w:cs="Arial"/>
              <w:color w:val="7F7F7F" w:themeColor="text1" w:themeTint="80"/>
              <w:sz w:val="16"/>
              <w:szCs w:val="16"/>
              <w:lang w:val="en-GB"/>
            </w:rPr>
            <w:t>Mai</w:t>
          </w:r>
          <w:r w:rsidR="00211C11" w:rsidRPr="00921ECE">
            <w:rPr>
              <w:rFonts w:cs="Arial"/>
              <w:color w:val="7F7F7F" w:themeColor="text1" w:themeTint="80"/>
              <w:sz w:val="16"/>
              <w:szCs w:val="16"/>
              <w:lang w:val="en-GB"/>
            </w:rPr>
            <w:t xml:space="preserve"> 2019</w:t>
          </w:r>
        </w:p>
      </w:tc>
      <w:tc>
        <w:tcPr>
          <w:tcW w:w="4606" w:type="dxa"/>
        </w:tcPr>
        <w:p w:rsidR="00C62B35" w:rsidRPr="00722881" w:rsidRDefault="00C62B35" w:rsidP="00844C54">
          <w:pPr>
            <w:pStyle w:val="Fuzeile"/>
            <w:spacing w:before="120"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305A74">
            <w:rPr>
              <w:rFonts w:cs="Arial"/>
              <w:color w:val="7F7F7F" w:themeColor="text1" w:themeTint="80"/>
              <w:sz w:val="16"/>
              <w:szCs w:val="16"/>
            </w:rPr>
            <w:t>Verwaltungsgebäude Promenade</w:t>
          </w:r>
          <w:r w:rsidRPr="00722881">
            <w:rPr>
              <w:rFonts w:cs="Arial"/>
              <w:color w:val="7F7F7F" w:themeColor="text1" w:themeTint="80"/>
              <w:sz w:val="16"/>
              <w:szCs w:val="16"/>
            </w:rPr>
            <w:t>, 8510 Frauenfeld</w:t>
          </w:r>
        </w:p>
        <w:p w:rsidR="00C62B35" w:rsidRPr="00722881" w:rsidRDefault="00C62B35" w:rsidP="00844C54">
          <w:pPr>
            <w:pStyle w:val="Fuzeile"/>
            <w:spacing w:before="40"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722881">
            <w:rPr>
              <w:rFonts w:cs="Arial"/>
              <w:color w:val="7F7F7F" w:themeColor="text1" w:themeTint="80"/>
              <w:sz w:val="16"/>
              <w:szCs w:val="16"/>
            </w:rPr>
            <w:t>www.umwelt.tg.ch / umwelt.afu@tg.ch</w:t>
          </w:r>
        </w:p>
        <w:p w:rsidR="00C62B35" w:rsidRDefault="00C62B35" w:rsidP="00844C54">
          <w:pPr>
            <w:pStyle w:val="Fuzeile"/>
            <w:spacing w:before="40" w:after="120" w:line="240" w:lineRule="auto"/>
            <w:rPr>
              <w:rFonts w:cs="Arial"/>
              <w:color w:val="7F7F7F" w:themeColor="text1" w:themeTint="80"/>
              <w:sz w:val="16"/>
              <w:szCs w:val="16"/>
              <w:lang w:val="en-GB"/>
            </w:rPr>
          </w:pPr>
          <w:r w:rsidRPr="00305A74">
            <w:rPr>
              <w:rFonts w:cs="Arial"/>
              <w:color w:val="7F7F7F" w:themeColor="text1" w:themeTint="80"/>
              <w:sz w:val="16"/>
              <w:szCs w:val="16"/>
              <w:lang w:val="en-GB"/>
            </w:rPr>
            <w:t>T +41 58 345 51 51, F +41 58 345 52 52</w:t>
          </w:r>
        </w:p>
      </w:tc>
    </w:tr>
  </w:tbl>
  <w:p w:rsidR="00C62B35" w:rsidRPr="003D5C75" w:rsidRDefault="00C62B35" w:rsidP="00844C54">
    <w:pPr>
      <w:pStyle w:val="Fuzeile"/>
      <w:spacing w:line="240" w:lineRule="auto"/>
      <w:rPr>
        <w:rFonts w:cs="Arial"/>
        <w:color w:val="7F7F7F" w:themeColor="text1" w:themeTint="80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5" w:rsidRPr="00FB77E1" w:rsidRDefault="00162872" w:rsidP="0035437C">
    <w:pPr>
      <w:pStyle w:val="Fuzeile"/>
      <w:pBdr>
        <w:top w:val="single" w:sz="6" w:space="4" w:color="auto"/>
      </w:pBdr>
      <w:rPr>
        <w:color w:val="7F7F7F" w:themeColor="text1" w:themeTint="80"/>
        <w:sz w:val="16"/>
        <w:szCs w:val="16"/>
      </w:rPr>
    </w:pPr>
    <w:r w:rsidRPr="00921ECE">
      <w:rPr>
        <w:color w:val="7F7F7F" w:themeColor="text1" w:themeTint="80"/>
        <w:sz w:val="16"/>
        <w:szCs w:val="16"/>
      </w:rPr>
      <w:t>Mustervereinbarung</w:t>
    </w:r>
    <w:r w:rsidR="00C62B35" w:rsidRPr="00921ECE">
      <w:rPr>
        <w:color w:val="7F7F7F" w:themeColor="text1" w:themeTint="80"/>
        <w:sz w:val="16"/>
        <w:szCs w:val="16"/>
      </w:rPr>
      <w:t xml:space="preserve"> Feuerungskontrolle Modell 1 </w:t>
    </w:r>
    <w:r w:rsidR="00A57985" w:rsidRPr="00921ECE">
      <w:rPr>
        <w:color w:val="7F7F7F" w:themeColor="text1" w:themeTint="80"/>
        <w:sz w:val="16"/>
        <w:szCs w:val="16"/>
      </w:rPr>
      <w:t xml:space="preserve"> </w:t>
    </w:r>
    <w:r w:rsidR="00C62B35" w:rsidRPr="00921ECE">
      <w:rPr>
        <w:color w:val="7F7F7F" w:themeColor="text1" w:themeTint="80"/>
        <w:sz w:val="16"/>
        <w:szCs w:val="16"/>
      </w:rPr>
      <w:t>–</w:t>
    </w:r>
    <w:r w:rsidR="00A57985" w:rsidRPr="00921ECE">
      <w:rPr>
        <w:color w:val="7F7F7F" w:themeColor="text1" w:themeTint="80"/>
        <w:sz w:val="16"/>
        <w:szCs w:val="16"/>
      </w:rPr>
      <w:t xml:space="preserve"> </w:t>
    </w:r>
    <w:r w:rsidR="00C62B35" w:rsidRPr="00921ECE">
      <w:rPr>
        <w:color w:val="7F7F7F" w:themeColor="text1" w:themeTint="80"/>
        <w:sz w:val="16"/>
        <w:szCs w:val="16"/>
      </w:rPr>
      <w:t xml:space="preserve"> </w:t>
    </w:r>
    <w:r w:rsidR="00921ECE" w:rsidRPr="00921ECE">
      <w:rPr>
        <w:color w:val="7F7F7F" w:themeColor="text1" w:themeTint="80"/>
        <w:sz w:val="16"/>
        <w:szCs w:val="16"/>
      </w:rPr>
      <w:t>Mai</w:t>
    </w:r>
    <w:r w:rsidR="00211C11" w:rsidRPr="00921ECE">
      <w:rPr>
        <w:color w:val="7F7F7F" w:themeColor="text1" w:themeTint="80"/>
        <w:sz w:val="16"/>
        <w:szCs w:val="16"/>
      </w:rPr>
      <w:t xml:space="preserve"> 2019</w:t>
    </w:r>
    <w:r w:rsidR="00C62B35" w:rsidRPr="00FB77E1">
      <w:rPr>
        <w:color w:val="7F7F7F" w:themeColor="text1" w:themeTint="80"/>
        <w:sz w:val="16"/>
        <w:szCs w:val="16"/>
      </w:rPr>
      <w:tab/>
    </w:r>
    <w:r w:rsidR="00C62B35" w:rsidRPr="00FB77E1">
      <w:rPr>
        <w:color w:val="7F7F7F" w:themeColor="text1" w:themeTint="80"/>
        <w:sz w:val="16"/>
        <w:szCs w:val="16"/>
      </w:rPr>
      <w:tab/>
    </w:r>
    <w:r w:rsidR="00C62B35" w:rsidRPr="00FB77E1">
      <w:rPr>
        <w:color w:val="7F7F7F" w:themeColor="text1" w:themeTint="80"/>
        <w:sz w:val="16"/>
        <w:szCs w:val="16"/>
      </w:rPr>
      <w:fldChar w:fldCharType="begin"/>
    </w:r>
    <w:r w:rsidR="00C62B35" w:rsidRPr="00FB77E1">
      <w:rPr>
        <w:color w:val="7F7F7F" w:themeColor="text1" w:themeTint="80"/>
        <w:sz w:val="16"/>
        <w:szCs w:val="16"/>
      </w:rPr>
      <w:instrText xml:space="preserve"> PAGE   \* MERGEFORMAT </w:instrText>
    </w:r>
    <w:r w:rsidR="00C62B35" w:rsidRPr="00FB77E1">
      <w:rPr>
        <w:color w:val="7F7F7F" w:themeColor="text1" w:themeTint="80"/>
        <w:sz w:val="16"/>
        <w:szCs w:val="16"/>
      </w:rPr>
      <w:fldChar w:fldCharType="separate"/>
    </w:r>
    <w:r w:rsidR="000516F5">
      <w:rPr>
        <w:noProof/>
        <w:color w:val="7F7F7F" w:themeColor="text1" w:themeTint="80"/>
        <w:sz w:val="16"/>
        <w:szCs w:val="16"/>
      </w:rPr>
      <w:t>1</w:t>
    </w:r>
    <w:r w:rsidR="00C62B35" w:rsidRPr="00FB77E1">
      <w:rPr>
        <w:color w:val="7F7F7F" w:themeColor="text1" w:themeTint="80"/>
        <w:sz w:val="16"/>
        <w:szCs w:val="16"/>
      </w:rPr>
      <w:fldChar w:fldCharType="end"/>
    </w:r>
  </w:p>
  <w:p w:rsidR="00C62B35" w:rsidRPr="003D5C75" w:rsidRDefault="00C62B35" w:rsidP="00844C54">
    <w:pPr>
      <w:pStyle w:val="Fuzeile"/>
      <w:spacing w:line="240" w:lineRule="auto"/>
      <w:rPr>
        <w:rFonts w:cs="Arial"/>
        <w:color w:val="7F7F7F" w:themeColor="text1" w:themeTint="8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35" w:rsidRDefault="00C62B35" w:rsidP="007142EC">
      <w:r>
        <w:separator/>
      </w:r>
    </w:p>
  </w:footnote>
  <w:footnote w:type="continuationSeparator" w:id="0">
    <w:p w:rsidR="00C62B35" w:rsidRDefault="00C62B35" w:rsidP="0071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5" w:rsidRDefault="00C62B35" w:rsidP="007142EC">
    <w:pPr>
      <w:pStyle w:val="CIKopfzeile1"/>
    </w:pPr>
    <w:r>
      <w:t>Amt für Umwelt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5" w:rsidRDefault="00C62B35" w:rsidP="00F14F7A">
    <w:pPr>
      <w:pStyle w:val="CIKopfzeile1"/>
    </w:pPr>
    <w:r>
      <w:t>Amt für Umwelt</w:t>
    </w:r>
  </w:p>
  <w:p w:rsidR="00C62B35" w:rsidRDefault="00C62B35" w:rsidP="00F14F7A">
    <w:pPr>
      <w:pStyle w:val="CIKopfzeile1"/>
    </w:pPr>
    <w:r>
      <w:rPr>
        <w:noProof/>
        <w:sz w:val="28"/>
        <w:lang w:eastAsia="de-CH"/>
      </w:rPr>
      <w:drawing>
        <wp:anchor distT="0" distB="0" distL="114300" distR="114300" simplePos="0" relativeHeight="251658240" behindDoc="0" locked="0" layoutInCell="1" allowOverlap="1">
          <wp:simplePos x="6045200" y="681355"/>
          <wp:positionH relativeFrom="column">
            <wp:align>right</wp:align>
          </wp:positionH>
          <wp:positionV relativeFrom="page">
            <wp:posOffset>431800</wp:posOffset>
          </wp:positionV>
          <wp:extent cx="1512000" cy="514800"/>
          <wp:effectExtent l="0" t="0" r="0" b="0"/>
          <wp:wrapNone/>
          <wp:docPr id="3" name="Bild 1" descr="logo_verw_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w_t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2B35" w:rsidRPr="007142EC" w:rsidRDefault="00C62B35" w:rsidP="00F14F7A">
    <w:pPr>
      <w:pStyle w:val="CIKopfzeile1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35" w:rsidRDefault="00C62B35" w:rsidP="00140560">
    <w:pPr>
      <w:pStyle w:val="CIKopfzeile1"/>
    </w:pPr>
    <w:r>
      <w:t>Amt für Umwelt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pt;height:8.9pt" o:bullet="t">
        <v:imagedata r:id="rId1" o:title=""/>
      </v:shape>
    </w:pict>
  </w:numPicBullet>
  <w:abstractNum w:abstractNumId="0">
    <w:nsid w:val="06CE3A6D"/>
    <w:multiLevelType w:val="hybridMultilevel"/>
    <w:tmpl w:val="71DC5F38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A2302"/>
    <w:multiLevelType w:val="hybridMultilevel"/>
    <w:tmpl w:val="BDC006B4"/>
    <w:lvl w:ilvl="0" w:tplc="D54682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E80"/>
    <w:multiLevelType w:val="hybridMultilevel"/>
    <w:tmpl w:val="2946AB8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ED7"/>
    <w:multiLevelType w:val="hybridMultilevel"/>
    <w:tmpl w:val="00F2ABF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30523"/>
    <w:multiLevelType w:val="hybridMultilevel"/>
    <w:tmpl w:val="02189FF4"/>
    <w:lvl w:ilvl="0" w:tplc="CAC0A3E4">
      <w:start w:val="8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87151"/>
    <w:multiLevelType w:val="hybridMultilevel"/>
    <w:tmpl w:val="3E885C1C"/>
    <w:lvl w:ilvl="0" w:tplc="A70E3748">
      <w:start w:val="2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73B73"/>
    <w:multiLevelType w:val="hybridMultilevel"/>
    <w:tmpl w:val="D826DEB6"/>
    <w:lvl w:ilvl="0" w:tplc="7E7263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7BD6"/>
    <w:multiLevelType w:val="hybridMultilevel"/>
    <w:tmpl w:val="0FC66964"/>
    <w:lvl w:ilvl="0" w:tplc="4E0ED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3C77"/>
    <w:multiLevelType w:val="hybridMultilevel"/>
    <w:tmpl w:val="B58896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15C7E"/>
    <w:multiLevelType w:val="hybridMultilevel"/>
    <w:tmpl w:val="2AAED1EE"/>
    <w:lvl w:ilvl="0" w:tplc="89AE517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D1977"/>
    <w:multiLevelType w:val="hybridMultilevel"/>
    <w:tmpl w:val="50287AF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8577C"/>
    <w:multiLevelType w:val="hybridMultilevel"/>
    <w:tmpl w:val="DCB0FE8C"/>
    <w:lvl w:ilvl="0" w:tplc="5F6ABF5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47FAE"/>
    <w:multiLevelType w:val="hybridMultilevel"/>
    <w:tmpl w:val="B6A6B674"/>
    <w:lvl w:ilvl="0" w:tplc="14288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17CCB"/>
    <w:multiLevelType w:val="hybridMultilevel"/>
    <w:tmpl w:val="77E4FC00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56E92"/>
    <w:multiLevelType w:val="hybridMultilevel"/>
    <w:tmpl w:val="5FE2D868"/>
    <w:lvl w:ilvl="0" w:tplc="5F6ABF5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1B7A23"/>
    <w:multiLevelType w:val="hybridMultilevel"/>
    <w:tmpl w:val="040CA9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824CF"/>
    <w:multiLevelType w:val="hybridMultilevel"/>
    <w:tmpl w:val="8C6A463C"/>
    <w:lvl w:ilvl="0" w:tplc="60BEBF6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7F5940AF"/>
    <w:multiLevelType w:val="hybridMultilevel"/>
    <w:tmpl w:val="974268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5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4E"/>
    <w:rsid w:val="00000177"/>
    <w:rsid w:val="0001571F"/>
    <w:rsid w:val="00024150"/>
    <w:rsid w:val="000402DC"/>
    <w:rsid w:val="000516F5"/>
    <w:rsid w:val="000547AB"/>
    <w:rsid w:val="00057814"/>
    <w:rsid w:val="00065D8A"/>
    <w:rsid w:val="00066D28"/>
    <w:rsid w:val="00084D77"/>
    <w:rsid w:val="00085379"/>
    <w:rsid w:val="000878FF"/>
    <w:rsid w:val="0009027A"/>
    <w:rsid w:val="00094005"/>
    <w:rsid w:val="000B4E27"/>
    <w:rsid w:val="000C19CC"/>
    <w:rsid w:val="000D79E9"/>
    <w:rsid w:val="000F48ED"/>
    <w:rsid w:val="000F6FCE"/>
    <w:rsid w:val="0010243D"/>
    <w:rsid w:val="00105CA4"/>
    <w:rsid w:val="00117592"/>
    <w:rsid w:val="0012075C"/>
    <w:rsid w:val="00120F59"/>
    <w:rsid w:val="00140560"/>
    <w:rsid w:val="00144CB8"/>
    <w:rsid w:val="001502B4"/>
    <w:rsid w:val="00151F02"/>
    <w:rsid w:val="0015207F"/>
    <w:rsid w:val="001527F8"/>
    <w:rsid w:val="00162872"/>
    <w:rsid w:val="00177388"/>
    <w:rsid w:val="001A553E"/>
    <w:rsid w:val="001B7A00"/>
    <w:rsid w:val="001C2114"/>
    <w:rsid w:val="00211C11"/>
    <w:rsid w:val="00224A6C"/>
    <w:rsid w:val="00232E5A"/>
    <w:rsid w:val="00234272"/>
    <w:rsid w:val="00252A05"/>
    <w:rsid w:val="002677A7"/>
    <w:rsid w:val="00282308"/>
    <w:rsid w:val="00285758"/>
    <w:rsid w:val="002A1EB6"/>
    <w:rsid w:val="002B7811"/>
    <w:rsid w:val="002C063D"/>
    <w:rsid w:val="002D6055"/>
    <w:rsid w:val="002E04D4"/>
    <w:rsid w:val="002E2AAF"/>
    <w:rsid w:val="002E4ADD"/>
    <w:rsid w:val="00300D29"/>
    <w:rsid w:val="003011C1"/>
    <w:rsid w:val="00302FFC"/>
    <w:rsid w:val="003040B5"/>
    <w:rsid w:val="00305A74"/>
    <w:rsid w:val="00317A1C"/>
    <w:rsid w:val="0032400B"/>
    <w:rsid w:val="0032515F"/>
    <w:rsid w:val="00332607"/>
    <w:rsid w:val="00334E5C"/>
    <w:rsid w:val="0034071A"/>
    <w:rsid w:val="003462B1"/>
    <w:rsid w:val="0035437C"/>
    <w:rsid w:val="00360370"/>
    <w:rsid w:val="003653E4"/>
    <w:rsid w:val="00371375"/>
    <w:rsid w:val="00373594"/>
    <w:rsid w:val="00386157"/>
    <w:rsid w:val="003A7B10"/>
    <w:rsid w:val="003B0E81"/>
    <w:rsid w:val="003B16E8"/>
    <w:rsid w:val="003B2787"/>
    <w:rsid w:val="003B35A4"/>
    <w:rsid w:val="003C6851"/>
    <w:rsid w:val="003D5C75"/>
    <w:rsid w:val="003E1D6D"/>
    <w:rsid w:val="003E2799"/>
    <w:rsid w:val="003E4629"/>
    <w:rsid w:val="003E6473"/>
    <w:rsid w:val="004062AF"/>
    <w:rsid w:val="004102C6"/>
    <w:rsid w:val="00415026"/>
    <w:rsid w:val="0044046C"/>
    <w:rsid w:val="0044242B"/>
    <w:rsid w:val="004473DC"/>
    <w:rsid w:val="00454F4A"/>
    <w:rsid w:val="0045620D"/>
    <w:rsid w:val="00470C89"/>
    <w:rsid w:val="0047404E"/>
    <w:rsid w:val="00474431"/>
    <w:rsid w:val="00493A7C"/>
    <w:rsid w:val="004A27D2"/>
    <w:rsid w:val="004A3DAD"/>
    <w:rsid w:val="004D2A6C"/>
    <w:rsid w:val="004E5628"/>
    <w:rsid w:val="004E7DF7"/>
    <w:rsid w:val="004F1BCB"/>
    <w:rsid w:val="005023BC"/>
    <w:rsid w:val="00510254"/>
    <w:rsid w:val="00511792"/>
    <w:rsid w:val="0052298E"/>
    <w:rsid w:val="005447F9"/>
    <w:rsid w:val="00552C03"/>
    <w:rsid w:val="0055491C"/>
    <w:rsid w:val="00562295"/>
    <w:rsid w:val="00566259"/>
    <w:rsid w:val="00583D61"/>
    <w:rsid w:val="00584528"/>
    <w:rsid w:val="0059069D"/>
    <w:rsid w:val="00590EAA"/>
    <w:rsid w:val="00595288"/>
    <w:rsid w:val="005A2475"/>
    <w:rsid w:val="005B6512"/>
    <w:rsid w:val="005C2303"/>
    <w:rsid w:val="005C4D41"/>
    <w:rsid w:val="005D081F"/>
    <w:rsid w:val="005D24DB"/>
    <w:rsid w:val="005D3BA3"/>
    <w:rsid w:val="005E2202"/>
    <w:rsid w:val="00600093"/>
    <w:rsid w:val="0061053C"/>
    <w:rsid w:val="006205EC"/>
    <w:rsid w:val="00622C38"/>
    <w:rsid w:val="00627456"/>
    <w:rsid w:val="0062785B"/>
    <w:rsid w:val="00627F00"/>
    <w:rsid w:val="00634782"/>
    <w:rsid w:val="006403C2"/>
    <w:rsid w:val="0064098E"/>
    <w:rsid w:val="00664F2C"/>
    <w:rsid w:val="006A0EF1"/>
    <w:rsid w:val="006A2043"/>
    <w:rsid w:val="006A676E"/>
    <w:rsid w:val="006B1920"/>
    <w:rsid w:val="006B2D93"/>
    <w:rsid w:val="006B458A"/>
    <w:rsid w:val="00704F1A"/>
    <w:rsid w:val="007142EC"/>
    <w:rsid w:val="0072160C"/>
    <w:rsid w:val="00722881"/>
    <w:rsid w:val="0072354D"/>
    <w:rsid w:val="007267FB"/>
    <w:rsid w:val="00736AEB"/>
    <w:rsid w:val="00737B7C"/>
    <w:rsid w:val="007518F1"/>
    <w:rsid w:val="00757A42"/>
    <w:rsid w:val="00763A91"/>
    <w:rsid w:val="00781BA6"/>
    <w:rsid w:val="0079290C"/>
    <w:rsid w:val="00795FA7"/>
    <w:rsid w:val="007A6589"/>
    <w:rsid w:val="007C062E"/>
    <w:rsid w:val="007C10FD"/>
    <w:rsid w:val="007C3FE3"/>
    <w:rsid w:val="007C5F51"/>
    <w:rsid w:val="007D44AB"/>
    <w:rsid w:val="007E626A"/>
    <w:rsid w:val="00803FD9"/>
    <w:rsid w:val="00820465"/>
    <w:rsid w:val="0082051D"/>
    <w:rsid w:val="00844C54"/>
    <w:rsid w:val="00844EBF"/>
    <w:rsid w:val="0085116D"/>
    <w:rsid w:val="008558F3"/>
    <w:rsid w:val="00863B7C"/>
    <w:rsid w:val="008756DE"/>
    <w:rsid w:val="0087718D"/>
    <w:rsid w:val="00880EE2"/>
    <w:rsid w:val="00897ACA"/>
    <w:rsid w:val="008A1499"/>
    <w:rsid w:val="008A40F1"/>
    <w:rsid w:val="008B20BD"/>
    <w:rsid w:val="008C2A8E"/>
    <w:rsid w:val="008C4DAB"/>
    <w:rsid w:val="008C5308"/>
    <w:rsid w:val="008D0A38"/>
    <w:rsid w:val="008D1A2E"/>
    <w:rsid w:val="008D291B"/>
    <w:rsid w:val="008E525C"/>
    <w:rsid w:val="008F2B2F"/>
    <w:rsid w:val="00901664"/>
    <w:rsid w:val="00903245"/>
    <w:rsid w:val="00910FF1"/>
    <w:rsid w:val="00921ECE"/>
    <w:rsid w:val="00941B76"/>
    <w:rsid w:val="00946AEE"/>
    <w:rsid w:val="00950B52"/>
    <w:rsid w:val="00960D68"/>
    <w:rsid w:val="0097404A"/>
    <w:rsid w:val="00974196"/>
    <w:rsid w:val="009779EB"/>
    <w:rsid w:val="00991EBB"/>
    <w:rsid w:val="00992326"/>
    <w:rsid w:val="0099256B"/>
    <w:rsid w:val="0099632F"/>
    <w:rsid w:val="009A2C91"/>
    <w:rsid w:val="009A56FE"/>
    <w:rsid w:val="009A5B6A"/>
    <w:rsid w:val="009B0BA2"/>
    <w:rsid w:val="009B6490"/>
    <w:rsid w:val="009B67F6"/>
    <w:rsid w:val="009D0D02"/>
    <w:rsid w:val="009D4800"/>
    <w:rsid w:val="009E50BD"/>
    <w:rsid w:val="009F294B"/>
    <w:rsid w:val="009F745D"/>
    <w:rsid w:val="009F75F9"/>
    <w:rsid w:val="00A14634"/>
    <w:rsid w:val="00A33AF5"/>
    <w:rsid w:val="00A37696"/>
    <w:rsid w:val="00A576C9"/>
    <w:rsid w:val="00A57985"/>
    <w:rsid w:val="00A75015"/>
    <w:rsid w:val="00A85885"/>
    <w:rsid w:val="00A878FE"/>
    <w:rsid w:val="00A96FC8"/>
    <w:rsid w:val="00AA4AFC"/>
    <w:rsid w:val="00AC0360"/>
    <w:rsid w:val="00AC12AB"/>
    <w:rsid w:val="00AD1FF0"/>
    <w:rsid w:val="00AD2EE2"/>
    <w:rsid w:val="00AD5686"/>
    <w:rsid w:val="00AE4880"/>
    <w:rsid w:val="00AE69EA"/>
    <w:rsid w:val="00AE6E3C"/>
    <w:rsid w:val="00AE7903"/>
    <w:rsid w:val="00B1456B"/>
    <w:rsid w:val="00B15FF0"/>
    <w:rsid w:val="00B27719"/>
    <w:rsid w:val="00B40FB8"/>
    <w:rsid w:val="00B43B2C"/>
    <w:rsid w:val="00B449FC"/>
    <w:rsid w:val="00B51487"/>
    <w:rsid w:val="00B54C81"/>
    <w:rsid w:val="00B66E6A"/>
    <w:rsid w:val="00B672B9"/>
    <w:rsid w:val="00B708EB"/>
    <w:rsid w:val="00B940F4"/>
    <w:rsid w:val="00BA0403"/>
    <w:rsid w:val="00BA0B57"/>
    <w:rsid w:val="00BA3079"/>
    <w:rsid w:val="00BB58F7"/>
    <w:rsid w:val="00BC28AB"/>
    <w:rsid w:val="00BD2EBB"/>
    <w:rsid w:val="00BE3452"/>
    <w:rsid w:val="00BF3AA8"/>
    <w:rsid w:val="00C15A59"/>
    <w:rsid w:val="00C208D4"/>
    <w:rsid w:val="00C32E19"/>
    <w:rsid w:val="00C339AB"/>
    <w:rsid w:val="00C42F27"/>
    <w:rsid w:val="00C531EC"/>
    <w:rsid w:val="00C56494"/>
    <w:rsid w:val="00C62B35"/>
    <w:rsid w:val="00CC0B58"/>
    <w:rsid w:val="00CC4C51"/>
    <w:rsid w:val="00CD1FF1"/>
    <w:rsid w:val="00CF18FD"/>
    <w:rsid w:val="00CF256A"/>
    <w:rsid w:val="00D07391"/>
    <w:rsid w:val="00D219FA"/>
    <w:rsid w:val="00D43D0A"/>
    <w:rsid w:val="00D52292"/>
    <w:rsid w:val="00D674B4"/>
    <w:rsid w:val="00D7551F"/>
    <w:rsid w:val="00D84569"/>
    <w:rsid w:val="00D95276"/>
    <w:rsid w:val="00D972CC"/>
    <w:rsid w:val="00DA21DA"/>
    <w:rsid w:val="00DC25B3"/>
    <w:rsid w:val="00DE674D"/>
    <w:rsid w:val="00DF0024"/>
    <w:rsid w:val="00DF25E8"/>
    <w:rsid w:val="00DF493D"/>
    <w:rsid w:val="00E00693"/>
    <w:rsid w:val="00E00A25"/>
    <w:rsid w:val="00E062C8"/>
    <w:rsid w:val="00E17CF1"/>
    <w:rsid w:val="00E4136F"/>
    <w:rsid w:val="00E449FF"/>
    <w:rsid w:val="00E50E07"/>
    <w:rsid w:val="00E53DFE"/>
    <w:rsid w:val="00E64F2D"/>
    <w:rsid w:val="00E75205"/>
    <w:rsid w:val="00E94167"/>
    <w:rsid w:val="00E953F5"/>
    <w:rsid w:val="00EA54D0"/>
    <w:rsid w:val="00EB04FE"/>
    <w:rsid w:val="00EB5FCA"/>
    <w:rsid w:val="00EC459E"/>
    <w:rsid w:val="00EC614E"/>
    <w:rsid w:val="00ED79F2"/>
    <w:rsid w:val="00EF31C4"/>
    <w:rsid w:val="00F01687"/>
    <w:rsid w:val="00F14F7A"/>
    <w:rsid w:val="00F1602F"/>
    <w:rsid w:val="00F22422"/>
    <w:rsid w:val="00F339A1"/>
    <w:rsid w:val="00F503C9"/>
    <w:rsid w:val="00F55D4A"/>
    <w:rsid w:val="00F56000"/>
    <w:rsid w:val="00F6460C"/>
    <w:rsid w:val="00F82644"/>
    <w:rsid w:val="00F8607C"/>
    <w:rsid w:val="00FB77E1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F7A"/>
    <w:pPr>
      <w:spacing w:line="280" w:lineRule="exact"/>
    </w:pPr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nhideWhenUsed/>
    <w:rsid w:val="007142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2EC"/>
  </w:style>
  <w:style w:type="paragraph" w:styleId="Fuzeile">
    <w:name w:val="footer"/>
    <w:basedOn w:val="Standard"/>
    <w:link w:val="FuzeileZchn"/>
    <w:uiPriority w:val="99"/>
    <w:unhideWhenUsed/>
    <w:rsid w:val="007142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2EC"/>
  </w:style>
  <w:style w:type="paragraph" w:customStyle="1" w:styleId="CIKopfzeile1">
    <w:name w:val="CIKopfzeile1"/>
    <w:basedOn w:val="Standard"/>
    <w:rsid w:val="007142EC"/>
    <w:pPr>
      <w:spacing w:line="260" w:lineRule="exact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2EC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8756DE"/>
    <w:pPr>
      <w:overflowPunct w:val="0"/>
      <w:autoSpaceDE w:val="0"/>
      <w:autoSpaceDN w:val="0"/>
      <w:adjustRightInd w:val="0"/>
      <w:spacing w:line="24" w:lineRule="atLeast"/>
      <w:ind w:left="709" w:hanging="709"/>
      <w:textAlignment w:val="baseline"/>
    </w:pPr>
    <w:rPr>
      <w:sz w:val="32"/>
      <w:szCs w:val="20"/>
      <w:lang w:val="de-DE"/>
    </w:rPr>
  </w:style>
  <w:style w:type="paragraph" w:customStyle="1" w:styleId="Textkrper31">
    <w:name w:val="Textkörper 31"/>
    <w:basedOn w:val="Standard"/>
    <w:rsid w:val="008756DE"/>
    <w:pPr>
      <w:tabs>
        <w:tab w:val="left" w:pos="0"/>
        <w:tab w:val="left" w:pos="576"/>
      </w:tabs>
      <w:overflowPunct w:val="0"/>
      <w:autoSpaceDE w:val="0"/>
      <w:autoSpaceDN w:val="0"/>
      <w:adjustRightInd w:val="0"/>
      <w:spacing w:line="24" w:lineRule="atLeast"/>
      <w:jc w:val="both"/>
      <w:textAlignment w:val="baseline"/>
    </w:pPr>
    <w:rPr>
      <w:szCs w:val="20"/>
      <w:lang w:val="de-DE"/>
    </w:rPr>
  </w:style>
  <w:style w:type="paragraph" w:styleId="Listenabsatz">
    <w:name w:val="List Paragraph"/>
    <w:basedOn w:val="Standard"/>
    <w:uiPriority w:val="34"/>
    <w:rsid w:val="008756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5F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F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FA7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5F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5FA7"/>
    <w:rPr>
      <w:rFonts w:eastAsia="Times New Roman"/>
      <w:b/>
      <w:bCs/>
      <w:sz w:val="20"/>
      <w:szCs w:val="20"/>
      <w:lang w:eastAsia="de-DE"/>
    </w:rPr>
  </w:style>
  <w:style w:type="paragraph" w:customStyle="1" w:styleId="Textkrper32">
    <w:name w:val="Textkörper 32"/>
    <w:basedOn w:val="Standard"/>
    <w:rsid w:val="009A5B6A"/>
    <w:pPr>
      <w:tabs>
        <w:tab w:val="left" w:pos="0"/>
        <w:tab w:val="left" w:pos="576"/>
      </w:tabs>
      <w:overflowPunct w:val="0"/>
      <w:autoSpaceDE w:val="0"/>
      <w:autoSpaceDN w:val="0"/>
      <w:adjustRightInd w:val="0"/>
      <w:spacing w:line="24" w:lineRule="atLeast"/>
      <w:jc w:val="both"/>
      <w:textAlignment w:val="baseline"/>
    </w:pPr>
    <w:rPr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A75015"/>
    <w:rPr>
      <w:color w:val="0000FF" w:themeColor="hyperlink"/>
      <w:u w:val="single"/>
    </w:rPr>
  </w:style>
  <w:style w:type="paragraph" w:customStyle="1" w:styleId="Fusszeile1">
    <w:name w:val="Fusszeile1"/>
    <w:basedOn w:val="Standard"/>
    <w:rsid w:val="0009027A"/>
    <w:pPr>
      <w:spacing w:line="220" w:lineRule="exact"/>
    </w:pPr>
    <w:rPr>
      <w:sz w:val="18"/>
    </w:rPr>
  </w:style>
  <w:style w:type="table" w:styleId="Tabellenraster">
    <w:name w:val="Table Grid"/>
    <w:basedOn w:val="NormaleTabelle"/>
    <w:uiPriority w:val="59"/>
    <w:rsid w:val="003D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C75"/>
    <w:pPr>
      <w:autoSpaceDE w:val="0"/>
      <w:autoSpaceDN w:val="0"/>
      <w:adjustRightInd w:val="0"/>
    </w:pPr>
    <w:rPr>
      <w:rFonts w:ascii="Akzidenz-Grotesk BQ Light" w:hAnsi="Akzidenz-Grotesk BQ Light" w:cs="Akzidenz-Grotesk BQ Light"/>
      <w:color w:val="000000"/>
    </w:rPr>
  </w:style>
  <w:style w:type="paragraph" w:customStyle="1" w:styleId="Pa1">
    <w:name w:val="Pa1"/>
    <w:basedOn w:val="Default"/>
    <w:next w:val="Default"/>
    <w:uiPriority w:val="99"/>
    <w:rsid w:val="003D5C75"/>
    <w:pPr>
      <w:spacing w:line="181" w:lineRule="atLeast"/>
    </w:pPr>
    <w:rPr>
      <w:rFonts w:cs="Times New Roman"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5D24DB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rsid w:val="005D24D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F7A"/>
    <w:pPr>
      <w:spacing w:line="280" w:lineRule="exact"/>
    </w:pPr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nhideWhenUsed/>
    <w:rsid w:val="007142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2EC"/>
  </w:style>
  <w:style w:type="paragraph" w:styleId="Fuzeile">
    <w:name w:val="footer"/>
    <w:basedOn w:val="Standard"/>
    <w:link w:val="FuzeileZchn"/>
    <w:uiPriority w:val="99"/>
    <w:unhideWhenUsed/>
    <w:rsid w:val="007142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2EC"/>
  </w:style>
  <w:style w:type="paragraph" w:customStyle="1" w:styleId="CIKopfzeile1">
    <w:name w:val="CIKopfzeile1"/>
    <w:basedOn w:val="Standard"/>
    <w:rsid w:val="007142EC"/>
    <w:pPr>
      <w:spacing w:line="260" w:lineRule="exact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2EC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8756DE"/>
    <w:pPr>
      <w:overflowPunct w:val="0"/>
      <w:autoSpaceDE w:val="0"/>
      <w:autoSpaceDN w:val="0"/>
      <w:adjustRightInd w:val="0"/>
      <w:spacing w:line="24" w:lineRule="atLeast"/>
      <w:ind w:left="709" w:hanging="709"/>
      <w:textAlignment w:val="baseline"/>
    </w:pPr>
    <w:rPr>
      <w:sz w:val="32"/>
      <w:szCs w:val="20"/>
      <w:lang w:val="de-DE"/>
    </w:rPr>
  </w:style>
  <w:style w:type="paragraph" w:customStyle="1" w:styleId="Textkrper31">
    <w:name w:val="Textkörper 31"/>
    <w:basedOn w:val="Standard"/>
    <w:rsid w:val="008756DE"/>
    <w:pPr>
      <w:tabs>
        <w:tab w:val="left" w:pos="0"/>
        <w:tab w:val="left" w:pos="576"/>
      </w:tabs>
      <w:overflowPunct w:val="0"/>
      <w:autoSpaceDE w:val="0"/>
      <w:autoSpaceDN w:val="0"/>
      <w:adjustRightInd w:val="0"/>
      <w:spacing w:line="24" w:lineRule="atLeast"/>
      <w:jc w:val="both"/>
      <w:textAlignment w:val="baseline"/>
    </w:pPr>
    <w:rPr>
      <w:szCs w:val="20"/>
      <w:lang w:val="de-DE"/>
    </w:rPr>
  </w:style>
  <w:style w:type="paragraph" w:styleId="Listenabsatz">
    <w:name w:val="List Paragraph"/>
    <w:basedOn w:val="Standard"/>
    <w:uiPriority w:val="34"/>
    <w:rsid w:val="008756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5F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F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FA7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5F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5FA7"/>
    <w:rPr>
      <w:rFonts w:eastAsia="Times New Roman"/>
      <w:b/>
      <w:bCs/>
      <w:sz w:val="20"/>
      <w:szCs w:val="20"/>
      <w:lang w:eastAsia="de-DE"/>
    </w:rPr>
  </w:style>
  <w:style w:type="paragraph" w:customStyle="1" w:styleId="Textkrper32">
    <w:name w:val="Textkörper 32"/>
    <w:basedOn w:val="Standard"/>
    <w:rsid w:val="009A5B6A"/>
    <w:pPr>
      <w:tabs>
        <w:tab w:val="left" w:pos="0"/>
        <w:tab w:val="left" w:pos="576"/>
      </w:tabs>
      <w:overflowPunct w:val="0"/>
      <w:autoSpaceDE w:val="0"/>
      <w:autoSpaceDN w:val="0"/>
      <w:adjustRightInd w:val="0"/>
      <w:spacing w:line="24" w:lineRule="atLeast"/>
      <w:jc w:val="both"/>
      <w:textAlignment w:val="baseline"/>
    </w:pPr>
    <w:rPr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A75015"/>
    <w:rPr>
      <w:color w:val="0000FF" w:themeColor="hyperlink"/>
      <w:u w:val="single"/>
    </w:rPr>
  </w:style>
  <w:style w:type="paragraph" w:customStyle="1" w:styleId="Fusszeile1">
    <w:name w:val="Fusszeile1"/>
    <w:basedOn w:val="Standard"/>
    <w:rsid w:val="0009027A"/>
    <w:pPr>
      <w:spacing w:line="220" w:lineRule="exact"/>
    </w:pPr>
    <w:rPr>
      <w:sz w:val="18"/>
    </w:rPr>
  </w:style>
  <w:style w:type="table" w:styleId="Tabellenraster">
    <w:name w:val="Table Grid"/>
    <w:basedOn w:val="NormaleTabelle"/>
    <w:uiPriority w:val="59"/>
    <w:rsid w:val="003D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C75"/>
    <w:pPr>
      <w:autoSpaceDE w:val="0"/>
      <w:autoSpaceDN w:val="0"/>
      <w:adjustRightInd w:val="0"/>
    </w:pPr>
    <w:rPr>
      <w:rFonts w:ascii="Akzidenz-Grotesk BQ Light" w:hAnsi="Akzidenz-Grotesk BQ Light" w:cs="Akzidenz-Grotesk BQ Light"/>
      <w:color w:val="000000"/>
    </w:rPr>
  </w:style>
  <w:style w:type="paragraph" w:customStyle="1" w:styleId="Pa1">
    <w:name w:val="Pa1"/>
    <w:basedOn w:val="Default"/>
    <w:next w:val="Default"/>
    <w:uiPriority w:val="99"/>
    <w:rsid w:val="003D5C75"/>
    <w:pPr>
      <w:spacing w:line="181" w:lineRule="atLeast"/>
    </w:pPr>
    <w:rPr>
      <w:rFonts w:cs="Times New Roman"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5D24DB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rsid w:val="005D24D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96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aten\Allgemein_Vorlagen\AfU%20TG\TG%20Dokument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924B-2BDC-4398-95EA-716DEB97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 Dokument Vorlage.dotx</Template>
  <TotalTime>0</TotalTime>
  <Pages>4</Pages>
  <Words>818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auwlud</dc:creator>
  <cp:lastModifiedBy>auwlud</cp:lastModifiedBy>
  <cp:revision>65</cp:revision>
  <cp:lastPrinted>2019-01-30T14:50:00Z</cp:lastPrinted>
  <dcterms:created xsi:type="dcterms:W3CDTF">2018-10-31T09:17:00Z</dcterms:created>
  <dcterms:modified xsi:type="dcterms:W3CDTF">2019-05-10T09:22:00Z</dcterms:modified>
</cp:coreProperties>
</file>